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ABEEBE"/>
  <w:body>
    <w:p w14:paraId="0A9D1684" w14:textId="449E94AD" w:rsidR="001B41F6" w:rsidRDefault="00685D46">
      <w:pPr>
        <w:rPr>
          <w:rFonts w:eastAsia="Times New Roman" w:cs="Times New Roman"/>
        </w:rPr>
      </w:pPr>
      <w:r>
        <w:rPr>
          <w:rFonts w:eastAsia="Times New Roman" w:cs="Times New Roman"/>
          <w:noProof/>
        </w:rPr>
        <w:drawing>
          <wp:anchor distT="0" distB="0" distL="114300" distR="114300" simplePos="0" relativeHeight="251659264" behindDoc="0" locked="0" layoutInCell="1" allowOverlap="1" wp14:anchorId="7F019D28" wp14:editId="17C07412">
            <wp:simplePos x="0" y="0"/>
            <wp:positionH relativeFrom="column">
              <wp:posOffset>-274320</wp:posOffset>
            </wp:positionH>
            <wp:positionV relativeFrom="paragraph">
              <wp:posOffset>-229235</wp:posOffset>
            </wp:positionV>
            <wp:extent cx="1874520" cy="1565275"/>
            <wp:effectExtent l="0" t="0" r="5080" b="9525"/>
            <wp:wrapSquare wrapText="bothSides"/>
            <wp:docPr id="1" name="Bild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kl.gif"/>
                    <pic:cNvPicPr/>
                  </pic:nvPicPr>
                  <pic:blipFill>
                    <a:blip r:embed="rId10">
                      <a:extLst>
                        <a:ext uri="{28A0092B-C50C-407E-A947-70E740481C1C}">
                          <a14:useLocalDpi xmlns:a14="http://schemas.microsoft.com/office/drawing/2010/main" val="0"/>
                        </a:ext>
                      </a:extLst>
                    </a:blip>
                    <a:stretch>
                      <a:fillRect/>
                    </a:stretch>
                  </pic:blipFill>
                  <pic:spPr>
                    <a:xfrm>
                      <a:off x="0" y="0"/>
                      <a:ext cx="1874520" cy="1565275"/>
                    </a:xfrm>
                    <a:prstGeom prst="rect">
                      <a:avLst/>
                    </a:prstGeom>
                  </pic:spPr>
                </pic:pic>
              </a:graphicData>
            </a:graphic>
            <wp14:sizeRelH relativeFrom="margin">
              <wp14:pctWidth>0</wp14:pctWidth>
            </wp14:sizeRelH>
            <wp14:sizeRelV relativeFrom="margin">
              <wp14:pctHeight>0</wp14:pctHeight>
            </wp14:sizeRelV>
          </wp:anchor>
        </w:drawing>
      </w:r>
    </w:p>
    <w:p w14:paraId="47757396" w14:textId="77777777" w:rsidR="001B41F6" w:rsidRDefault="001B41F6">
      <w:pPr>
        <w:pStyle w:val="berschrift4"/>
        <w:jc w:val="center"/>
        <w:rPr>
          <w:rFonts w:eastAsia="Times New Roman" w:cs="Times New Roman"/>
        </w:rPr>
      </w:pPr>
      <w:r>
        <w:rPr>
          <w:rFonts w:eastAsia="Times New Roman" w:cs="Times New Roman"/>
        </w:rPr>
        <w:t>Ermittlung von Fälschungen im Mittelalter</w:t>
      </w:r>
    </w:p>
    <w:p w14:paraId="04E06290" w14:textId="77777777" w:rsidR="00486421" w:rsidRPr="006C2CF4" w:rsidRDefault="001B41F6" w:rsidP="00A947E9">
      <w:pPr>
        <w:jc w:val="both"/>
        <w:rPr>
          <w:rFonts w:eastAsia="Times New Roman" w:cs="Times New Roman"/>
          <w:sz w:val="24"/>
          <w:szCs w:val="24"/>
        </w:rPr>
      </w:pPr>
      <w:r w:rsidRPr="006C2CF4">
        <w:rPr>
          <w:rFonts w:eastAsia="Times New Roman" w:cs="Times New Roman"/>
          <w:sz w:val="24"/>
          <w:szCs w:val="24"/>
        </w:rPr>
        <w:t xml:space="preserve"> Erkannt wurden Fälschungen an äußeren und inneren Merkmalen. </w:t>
      </w:r>
      <w:r w:rsidRPr="006C2CF4">
        <w:rPr>
          <w:rFonts w:eastAsia="Times New Roman" w:cs="Times New Roman"/>
          <w:b/>
          <w:bCs/>
          <w:sz w:val="24"/>
          <w:szCs w:val="24"/>
        </w:rPr>
        <w:t>Schriftvergleichung</w:t>
      </w:r>
      <w:r w:rsidRPr="006C2CF4">
        <w:rPr>
          <w:rFonts w:eastAsia="Times New Roman" w:cs="Times New Roman"/>
          <w:sz w:val="24"/>
          <w:szCs w:val="24"/>
        </w:rPr>
        <w:t xml:space="preserve"> war schon ein Kriterium des römischen Rechts gewesen ( C 4.21.20 ), und die </w:t>
      </w:r>
      <w:r w:rsidRPr="006C2CF4">
        <w:rPr>
          <w:rFonts w:eastAsia="Times New Roman" w:cs="Times New Roman"/>
          <w:b/>
          <w:bCs/>
          <w:i/>
          <w:iCs/>
          <w:sz w:val="24"/>
          <w:szCs w:val="24"/>
        </w:rPr>
        <w:t>comparatio litterarum</w:t>
      </w:r>
      <w:r w:rsidRPr="006C2CF4">
        <w:rPr>
          <w:rFonts w:eastAsia="Times New Roman" w:cs="Times New Roman"/>
          <w:sz w:val="24"/>
          <w:szCs w:val="24"/>
        </w:rPr>
        <w:t xml:space="preserve"> wurde später auch von den mittelalterlichen Juristen zur Kommentierung von X 5.20.5 herangezogen, der Dekretale </w:t>
      </w:r>
      <w:bookmarkStart w:id="0" w:name="_GoBack"/>
      <w:r w:rsidRPr="00332563">
        <w:rPr>
          <w:rFonts w:eastAsia="Times New Roman" w:cs="Times New Roman"/>
          <w:b/>
          <w:sz w:val="24"/>
          <w:szCs w:val="24"/>
        </w:rPr>
        <w:t>Innocenz III.</w:t>
      </w:r>
      <w:bookmarkEnd w:id="0"/>
      <w:r w:rsidRPr="006C2CF4">
        <w:rPr>
          <w:rFonts w:eastAsia="Times New Roman" w:cs="Times New Roman"/>
          <w:sz w:val="24"/>
          <w:szCs w:val="24"/>
        </w:rPr>
        <w:t>, in welcher der Papst einen Katalog von Kriterien zur Beurteilung von Fälschungen aufgestellt hat.</w:t>
      </w:r>
      <w:r w:rsidR="00C6414D" w:rsidRPr="006C2CF4">
        <w:rPr>
          <w:rFonts w:eastAsia="Times New Roman" w:cs="Times New Roman"/>
          <w:sz w:val="24"/>
          <w:szCs w:val="24"/>
        </w:rPr>
        <w:tab/>
      </w:r>
      <w:r w:rsidRPr="006C2CF4">
        <w:rPr>
          <w:rFonts w:eastAsia="Times New Roman" w:cs="Times New Roman"/>
          <w:sz w:val="24"/>
          <w:szCs w:val="24"/>
        </w:rPr>
        <w:t xml:space="preserve"> </w:t>
      </w:r>
    </w:p>
    <w:p w14:paraId="2514F20F" w14:textId="21A3792B" w:rsidR="00486421" w:rsidRPr="006C2CF4" w:rsidRDefault="001B41F6" w:rsidP="00A947E9">
      <w:pPr>
        <w:jc w:val="both"/>
        <w:rPr>
          <w:rFonts w:eastAsia="Times New Roman" w:cs="Times New Roman"/>
          <w:sz w:val="24"/>
          <w:szCs w:val="24"/>
        </w:rPr>
      </w:pPr>
      <w:r w:rsidRPr="006C2CF4">
        <w:rPr>
          <w:rFonts w:eastAsia="Times New Roman" w:cs="Times New Roman"/>
          <w:sz w:val="24"/>
          <w:szCs w:val="24"/>
        </w:rPr>
        <w:br/>
        <w:t> Auch sonstige äußere Auffälligkeiten wurden bemerkt. So erkannte Alexander III. im Jahre 1176</w:t>
      </w:r>
      <w:r w:rsidR="00C10D03" w:rsidRPr="006C2CF4">
        <w:rPr>
          <w:rStyle w:val="Funotenzeichen"/>
          <w:rFonts w:eastAsia="Times New Roman" w:cs="Times New Roman"/>
          <w:sz w:val="24"/>
          <w:szCs w:val="24"/>
        </w:rPr>
        <w:footnoteReference w:id="1"/>
      </w:r>
      <w:r w:rsidRPr="006C2CF4">
        <w:rPr>
          <w:rFonts w:eastAsia="Times New Roman" w:cs="Times New Roman"/>
          <w:sz w:val="24"/>
          <w:szCs w:val="24"/>
        </w:rPr>
        <w:t xml:space="preserve"> eine Interpolation auf einer Rasur in einer Urkunde Eugens III., die ihm vorgelegt worden war, um nachzuweisen, daß die Michaelskirche auf dem Monte Gargano ein mit Siponto unierter Bistumssitz gewesen sei. Überhaupt ist </w:t>
      </w:r>
      <w:r w:rsidRPr="006C2CF4">
        <w:rPr>
          <w:rFonts w:eastAsia="Times New Roman" w:cs="Times New Roman"/>
          <w:b/>
          <w:bCs/>
          <w:sz w:val="24"/>
          <w:szCs w:val="24"/>
        </w:rPr>
        <w:t>Alexander III.</w:t>
      </w:r>
      <w:r w:rsidRPr="006C2CF4">
        <w:rPr>
          <w:rFonts w:eastAsia="Times New Roman" w:cs="Times New Roman"/>
          <w:sz w:val="24"/>
          <w:szCs w:val="24"/>
        </w:rPr>
        <w:t xml:space="preserve"> mehrfach als Urkundenkritiker nachweisbar. Das von ihm befolgte Verfahren ist genauer zu erkennen im Streit zwischen Bischof Petrus von Pamplona und San Salvador de Leire, wo der Bischof eingewandt hatte, das von der Gegenseite vorgelegte Exemptionsprivileg Alexanders II. sei gefälscht. Petrus war hier zwar auf der richtigen Fährte, denn die Urkunde Alexanders II. ist tatsächlich nach unserem Kenntnisstand eine Fälschung, doch der Papst hat sich seinem Verdacht nicht angeschlossen. </w:t>
      </w:r>
      <w:r w:rsidRPr="006C2CF4">
        <w:rPr>
          <w:rFonts w:eastAsia="Times New Roman" w:cs="Times New Roman"/>
          <w:i/>
          <w:iCs/>
          <w:sz w:val="24"/>
          <w:szCs w:val="24"/>
        </w:rPr>
        <w:t>Nec ex stilo dictaminis nec ex bulla aut scriptura</w:t>
      </w:r>
      <w:r w:rsidRPr="006C2CF4">
        <w:rPr>
          <w:rFonts w:eastAsia="Times New Roman" w:cs="Times New Roman"/>
          <w:sz w:val="24"/>
          <w:szCs w:val="24"/>
        </w:rPr>
        <w:t xml:space="preserve"> sei zu erkennen, </w:t>
      </w:r>
      <w:r w:rsidRPr="006C2CF4">
        <w:rPr>
          <w:rFonts w:eastAsia="Times New Roman" w:cs="Times New Roman"/>
          <w:i/>
          <w:iCs/>
          <w:sz w:val="24"/>
          <w:szCs w:val="24"/>
        </w:rPr>
        <w:t>quod aliquid falsitatis in se continent</w:t>
      </w:r>
      <w:r w:rsidRPr="006C2CF4">
        <w:rPr>
          <w:rFonts w:eastAsia="Times New Roman" w:cs="Times New Roman"/>
          <w:sz w:val="24"/>
          <w:szCs w:val="24"/>
        </w:rPr>
        <w:t xml:space="preserve">. Weder das Diktat noch die Schrift oder die Bullierung wurden also als regelwidrig erkannt, als die fraglichen Urkunden an der Kurie zur Prüfung vorgelegt wurden. Wie aus dem Schreiben des Papstes an den Kardinallegaten Iacintus, den späteren Cölestin III., hervorgeht, waren die Dokumente mit Urkunden in Montecassino verglichen worden. Daß nicht jede Abweichung gleich zu einer Verwerfung führen mußte, erklärt Alexander III. hinsichtlich der Indiktion, die zwar nicht mit anderen Stücken Alexanders II. übereinstimme: </w:t>
      </w:r>
      <w:r w:rsidRPr="006C2CF4">
        <w:rPr>
          <w:rFonts w:eastAsia="Times New Roman" w:cs="Times New Roman"/>
          <w:i/>
          <w:iCs/>
          <w:sz w:val="24"/>
          <w:szCs w:val="24"/>
        </w:rPr>
        <w:t>cum, sicut nosti, ecclesia Romana non consuevit in huiusmodi articulis privilegia infringere vel reprobare</w:t>
      </w:r>
      <w:r w:rsidRPr="006C2CF4">
        <w:rPr>
          <w:rFonts w:eastAsia="Times New Roman" w:cs="Times New Roman"/>
          <w:sz w:val="24"/>
          <w:szCs w:val="24"/>
        </w:rPr>
        <w:t>. Dies bedeutet, daß man sich der legitimen Möglichkeit von kleineren Varianten bewußt war. In dem an die Kläger gerichteten Schreiben wird die Prüfung der Urkunden ebenfalls erwähnt, jedoch ohne Angabe von Einzelheiten.</w:t>
      </w:r>
      <w:r w:rsidR="00A947E9" w:rsidRPr="006C2CF4">
        <w:rPr>
          <w:rFonts w:eastAsia="Times New Roman" w:cs="Times New Roman"/>
          <w:sz w:val="24"/>
          <w:szCs w:val="24"/>
        </w:rPr>
        <w:tab/>
      </w:r>
    </w:p>
    <w:p w14:paraId="7FE00CB7" w14:textId="4C316C44" w:rsidR="001B41F6" w:rsidRPr="00FD0868" w:rsidRDefault="001B41F6" w:rsidP="00A947E9">
      <w:pPr>
        <w:jc w:val="both"/>
        <w:rPr>
          <w:rFonts w:eastAsia="Times New Roman" w:cs="Times New Roman"/>
          <w:sz w:val="24"/>
          <w:szCs w:val="24"/>
        </w:rPr>
      </w:pPr>
      <w:r w:rsidRPr="006C2CF4">
        <w:rPr>
          <w:rFonts w:eastAsia="Times New Roman" w:cs="Times New Roman"/>
          <w:sz w:val="24"/>
          <w:szCs w:val="24"/>
        </w:rPr>
        <w:br/>
        <w:t xml:space="preserve"> Dabei ist interessant, daß Vergleichsmaterial an der Kurie unmittelbar nicht zur Verfügung stand. Dies ergibt sich auch aus einer Geschichte, die ein Zeuge im Verlauf der Untersuchung erzählt, die der Kardinallegat </w:t>
      </w:r>
      <w:r w:rsidRPr="00FD0868">
        <w:rPr>
          <w:rFonts w:eastAsia="Times New Roman" w:cs="Times New Roman"/>
          <w:b/>
          <w:sz w:val="24"/>
          <w:szCs w:val="24"/>
        </w:rPr>
        <w:t>Laborans</w:t>
      </w:r>
      <w:r w:rsidRPr="00FD0868">
        <w:rPr>
          <w:rFonts w:eastAsia="Times New Roman" w:cs="Times New Roman"/>
          <w:sz w:val="24"/>
          <w:szCs w:val="24"/>
        </w:rPr>
        <w:t xml:space="preserve"> im Streit zwischen den Bistümern Arezzo und Siena durchgeführt hat. Auch eine kritische Beurteilung von Privaturkunden wurde von der römischen Kurie vorgenommen. In einem Prozeß zwischen dem Bischof von Nicastro und dem griechischen Kloster S. Maria del Carrà, der vor dem Kardinalbischof von Albano durchgeführt wurde, hatten die Prokuratoren des Bischofs eine Sentenz vorgelegt, die von Bischof J. von Mileto und Abt Joachim von Corazzo (=Joachim von Fiore) ausgestellt worden war. Da diese Urkunde anscheinend wegen des Fehlens der Besiegelung und weil sie nicht von einem öffentlichen Notar geschrieben war (</w:t>
      </w:r>
      <w:r w:rsidRPr="00FD0868">
        <w:rPr>
          <w:rFonts w:eastAsia="Times New Roman" w:cs="Times New Roman"/>
          <w:i/>
          <w:iCs/>
          <w:sz w:val="24"/>
          <w:szCs w:val="24"/>
        </w:rPr>
        <w:t>Sed quia nec munitum erat sigillo eorum nec publica manu factum</w:t>
      </w:r>
      <w:r w:rsidRPr="00FD0868">
        <w:rPr>
          <w:rFonts w:eastAsia="Times New Roman" w:cs="Times New Roman"/>
          <w:sz w:val="24"/>
          <w:szCs w:val="24"/>
        </w:rPr>
        <w:t>), nicht als beweiskräftig angesehen wurde, erboten sich die Prokuratoren, die Richtigkeit der Sache durch über jeden Verdacht erhabene Zeugen aus ihrem Gebiet (</w:t>
      </w:r>
      <w:r w:rsidRPr="00FD0868">
        <w:rPr>
          <w:rFonts w:eastAsia="Times New Roman" w:cs="Times New Roman"/>
          <w:i/>
          <w:iCs/>
          <w:sz w:val="24"/>
          <w:szCs w:val="24"/>
        </w:rPr>
        <w:t>per testes omni exceptione maiores in suis partibus</w:t>
      </w:r>
      <w:r w:rsidRPr="00FD0868">
        <w:rPr>
          <w:rFonts w:eastAsia="Times New Roman" w:cs="Times New Roman"/>
          <w:sz w:val="24"/>
          <w:szCs w:val="24"/>
        </w:rPr>
        <w:t xml:space="preserve"> ) zu beweisen. Der Bericht darüber findet sich in einer Urkunde Honorius III. vom 1. Juni 1219</w:t>
      </w:r>
      <w:r w:rsidR="00032C8A" w:rsidRPr="00FD0868">
        <w:rPr>
          <w:rFonts w:eastAsia="Times New Roman" w:cs="Times New Roman"/>
          <w:sz w:val="24"/>
          <w:szCs w:val="24"/>
        </w:rPr>
        <w:t>.</w:t>
      </w:r>
      <w:r w:rsidRPr="00FD0868">
        <w:rPr>
          <w:rFonts w:eastAsia="Times New Roman" w:cs="Times New Roman"/>
          <w:sz w:val="24"/>
          <w:szCs w:val="24"/>
        </w:rPr>
        <w:t xml:space="preserve"> </w:t>
      </w:r>
    </w:p>
    <w:p w14:paraId="5154D6C5" w14:textId="77777777" w:rsidR="001B41F6" w:rsidRDefault="001B41F6">
      <w:pPr>
        <w:rPr>
          <w:rFonts w:eastAsia="Times New Roman" w:cs="Times New Roman"/>
        </w:rPr>
      </w:pPr>
      <w:r>
        <w:rPr>
          <w:rFonts w:eastAsia="Times New Roman" w:cs="Times New Roman"/>
        </w:rPr>
        <w:pict w14:anchorId="2E5E7697">
          <v:rect id="_x0000_i1041" style="width:0;height:1.5pt" o:hralign="center" o:hrstd="t" o:hr="t" fillcolor="#aaa" stroked="f"/>
        </w:pict>
      </w:r>
    </w:p>
    <w:p w14:paraId="6AD8F497" w14:textId="1BE7BE04" w:rsidR="001B41F6" w:rsidRDefault="001B41F6" w:rsidP="00C10D03">
      <w:pPr>
        <w:pStyle w:val="StandardWeb"/>
      </w:pPr>
      <w:r w:rsidRPr="006C2CF4">
        <w:rPr>
          <w:sz w:val="24"/>
          <w:szCs w:val="24"/>
        </w:rPr>
        <w:t xml:space="preserve">H.U. </w:t>
      </w:r>
      <w:r w:rsidRPr="006C2CF4">
        <w:rPr>
          <w:b/>
          <w:bCs/>
          <w:sz w:val="24"/>
          <w:szCs w:val="24"/>
        </w:rPr>
        <w:t>Kantorowicz</w:t>
      </w:r>
      <w:r w:rsidRPr="006C2CF4">
        <w:rPr>
          <w:sz w:val="24"/>
          <w:szCs w:val="24"/>
        </w:rPr>
        <w:t xml:space="preserve">, Schriftvergleichung und Urkundenfälschung. Beitrag zur Geschichte der Diplomatik im Mittelalter, in QF 9, 1906, 38 - 56, behandelt Beispiele aus Verfahren vor Albertus Gandinus in Bologna im Jahre 1289. </w:t>
      </w:r>
      <w:r w:rsidRPr="006C2CF4">
        <w:rPr>
          <w:sz w:val="24"/>
          <w:szCs w:val="24"/>
        </w:rPr>
        <w:br/>
        <w:t xml:space="preserve">Hans </w:t>
      </w:r>
      <w:r w:rsidRPr="006C2CF4">
        <w:rPr>
          <w:b/>
          <w:bCs/>
          <w:sz w:val="24"/>
          <w:szCs w:val="24"/>
        </w:rPr>
        <w:t>Foerster</w:t>
      </w:r>
      <w:r w:rsidRPr="006C2CF4">
        <w:rPr>
          <w:sz w:val="24"/>
          <w:szCs w:val="24"/>
        </w:rPr>
        <w:t>, Beispiele mittelalterlicher Urkundenkritik, in AZ 50/51, 1955, 301 - 318.</w:t>
      </w:r>
      <w:r w:rsidRPr="006C2CF4">
        <w:rPr>
          <w:sz w:val="24"/>
          <w:szCs w:val="24"/>
        </w:rPr>
        <w:br/>
      </w:r>
      <w:r>
        <w:pict w14:anchorId="78F849EE">
          <v:rect id="_x0000_i1066" style="width:0;height:1.5pt" o:hralign="center" o:hrstd="t" o:hr="t" fillcolor="#aaa" stroked="f"/>
        </w:pict>
      </w:r>
    </w:p>
    <w:p w14:paraId="202C2F08" w14:textId="77777777" w:rsidR="001B41F6" w:rsidRDefault="001B41F6">
      <w:pPr>
        <w:rPr>
          <w:rFonts w:eastAsia="Times New Roman" w:cs="Times New Roman"/>
        </w:rPr>
      </w:pPr>
    </w:p>
    <w:p w14:paraId="5A150837" w14:textId="77777777" w:rsidR="001B41F6" w:rsidRDefault="001B41F6">
      <w:pPr>
        <w:pStyle w:val="berschrift4"/>
        <w:jc w:val="center"/>
        <w:rPr>
          <w:rFonts w:eastAsia="Times New Roman" w:cs="Times New Roman"/>
        </w:rPr>
      </w:pPr>
      <w:r>
        <w:rPr>
          <w:rFonts w:eastAsia="Times New Roman" w:cs="Times New Roman"/>
        </w:rPr>
        <w:t>Ertappte Fälscher in Mittelalter und Neuzeit</w:t>
      </w:r>
    </w:p>
    <w:p w14:paraId="4EE1C581" w14:textId="77777777" w:rsidR="00486421" w:rsidRPr="002F4369" w:rsidRDefault="001B41F6" w:rsidP="00032C8A">
      <w:pPr>
        <w:jc w:val="both"/>
        <w:rPr>
          <w:rFonts w:eastAsia="Times New Roman" w:cs="Times New Roman"/>
          <w:sz w:val="24"/>
          <w:szCs w:val="24"/>
        </w:rPr>
      </w:pPr>
      <w:r w:rsidRPr="002F4369">
        <w:rPr>
          <w:rFonts w:eastAsia="Times New Roman" w:cs="Times New Roman"/>
          <w:sz w:val="24"/>
          <w:szCs w:val="24"/>
        </w:rPr>
        <w:t xml:space="preserve"> Nachrichten über Fälscher und Fälschungen und ihre Entlarvung haben wir schon früh. So berichtet Gregor von Tours, der Referendar habe von dem Bischof Egidius von Reims vorgelegte Urkunden als Fälschungen erkannt, worauf sich der Bischof selbst als Majestätsverbrecher bekannte und zur Strafe geblendet wurde. </w:t>
      </w:r>
      <w:r w:rsidR="00C6414D" w:rsidRPr="002F4369">
        <w:rPr>
          <w:rFonts w:eastAsia="Times New Roman" w:cs="Times New Roman"/>
          <w:sz w:val="24"/>
          <w:szCs w:val="24"/>
        </w:rPr>
        <w:tab/>
      </w:r>
    </w:p>
    <w:p w14:paraId="54F9B2B8" w14:textId="77777777" w:rsidR="00486421" w:rsidRPr="002F4369" w:rsidRDefault="001B41F6" w:rsidP="00032C8A">
      <w:pPr>
        <w:jc w:val="both"/>
        <w:rPr>
          <w:rFonts w:eastAsia="Times New Roman" w:cs="Times New Roman"/>
          <w:sz w:val="24"/>
          <w:szCs w:val="24"/>
        </w:rPr>
      </w:pPr>
      <w:r w:rsidRPr="002F4369">
        <w:rPr>
          <w:rFonts w:eastAsia="Times New Roman" w:cs="Times New Roman"/>
          <w:sz w:val="24"/>
          <w:szCs w:val="24"/>
        </w:rPr>
        <w:lastRenderedPageBreak/>
        <w:br/>
        <w:t xml:space="preserve"> Daß Bischöfe häufiger als Fälscher nachzuweisen sind, dürfte nicht mit einer besonderen Neigung ihres Standes zusammenhängen, sondern damit, daß für sie die Überlieferung unserer Quellen reichhaltiger ist als für andere Personengruppen. Außerdem verfügten sie, da sie selbst als Urkundenaussteller auftraten, über die nötigen Hilfsmittel und Mitarbeiter. So wird in dem Absetzungsverfahren, das Innocenz III. gegen den Bischof von Vieste durchführen ließ, der Vorwurf erhoben, daß der Bischof sein Kapitel vor dem kaiserlichen Gericht angeklagt und gegen den Archidiakon Urkunden gefälscht habe, was zu dessen Amtsverlust geführt habe: Reg. Inn.III, I,1: ... </w:t>
      </w:r>
      <w:r w:rsidRPr="002F4369">
        <w:rPr>
          <w:rFonts w:eastAsia="Times New Roman" w:cs="Times New Roman"/>
          <w:i/>
          <w:iCs/>
          <w:sz w:val="24"/>
          <w:szCs w:val="24"/>
        </w:rPr>
        <w:t>de clericis in curia imperiali deposuisse querelas et contra sepedictum archidiaconum falsas litteras confinxisse, occasione quarum ipsum archidiaconatus beneficio et loco nequiter multo tempore spoliavit..</w:t>
      </w:r>
      <w:r w:rsidRPr="002F4369">
        <w:rPr>
          <w:rFonts w:eastAsia="Times New Roman" w:cs="Times New Roman"/>
          <w:sz w:val="24"/>
          <w:szCs w:val="24"/>
        </w:rPr>
        <w:t xml:space="preserve"> </w:t>
      </w:r>
    </w:p>
    <w:p w14:paraId="568052D1" w14:textId="70DFF467" w:rsidR="00486421" w:rsidRPr="002F4369" w:rsidRDefault="001B41F6" w:rsidP="00032C8A">
      <w:pPr>
        <w:jc w:val="both"/>
        <w:rPr>
          <w:rFonts w:eastAsia="Times New Roman" w:cs="Times New Roman"/>
          <w:sz w:val="24"/>
          <w:szCs w:val="24"/>
        </w:rPr>
      </w:pPr>
      <w:r w:rsidRPr="002F4369">
        <w:rPr>
          <w:rFonts w:eastAsia="Times New Roman" w:cs="Times New Roman"/>
          <w:sz w:val="24"/>
          <w:szCs w:val="24"/>
        </w:rPr>
        <w:br/>
        <w:t> Gegen den Minoriten Rogerius, Bischof von Bovino seit 1329, wurde der Verdacht der Fälschung von Urkunden König Roberts von Sizilien verbreitet, weswegen Johann XXII. den Erzbischof von Neapel 1334 mit einer vorsichtigen Untersuchung des Falles beauftragte</w:t>
      </w:r>
      <w:r w:rsidR="00FF284A">
        <w:rPr>
          <w:rStyle w:val="Funotenzeichen"/>
          <w:rFonts w:eastAsia="Times New Roman" w:cs="Times New Roman"/>
          <w:sz w:val="24"/>
          <w:szCs w:val="24"/>
        </w:rPr>
        <w:footnoteReference w:id="2"/>
      </w:r>
      <w:bookmarkStart w:id="1" w:name="a1"/>
      <w:r w:rsidRPr="002F4369">
        <w:rPr>
          <w:rFonts w:eastAsia="Times New Roman" w:cs="Times New Roman"/>
          <w:sz w:val="24"/>
          <w:szCs w:val="24"/>
        </w:rPr>
        <w:t xml:space="preserve">. Da von späteren Zwangsmaßnahmen nichts bekannt ist, dürfte sich die Haltlosigkeit der Vorwürfe erwiesen haben. </w:t>
      </w:r>
      <w:r w:rsidR="00032C8A" w:rsidRPr="002F4369">
        <w:rPr>
          <w:rFonts w:eastAsia="Times New Roman" w:cs="Times New Roman"/>
          <w:sz w:val="24"/>
          <w:szCs w:val="24"/>
        </w:rPr>
        <w:tab/>
      </w:r>
      <w:r w:rsidRPr="002F4369">
        <w:rPr>
          <w:rFonts w:eastAsia="Times New Roman" w:cs="Times New Roman"/>
          <w:sz w:val="24"/>
          <w:szCs w:val="24"/>
        </w:rPr>
        <w:br/>
        <w:t>  In den Registern Johanns XXII. betreffen über vierzig Urkunden Fälscher von Papsturkunden</w:t>
      </w:r>
      <w:r w:rsidR="00405D8C">
        <w:rPr>
          <w:rFonts w:eastAsia="Times New Roman" w:cs="Times New Roman"/>
          <w:sz w:val="24"/>
          <w:szCs w:val="24"/>
        </w:rPr>
        <w:t>.</w:t>
      </w:r>
      <w:r w:rsidR="00405D8C">
        <w:rPr>
          <w:rStyle w:val="Funotenzeichen"/>
          <w:rFonts w:eastAsia="Times New Roman" w:cs="Times New Roman"/>
          <w:sz w:val="24"/>
          <w:szCs w:val="24"/>
        </w:rPr>
        <w:footnoteReference w:id="3"/>
      </w:r>
      <w:bookmarkStart w:id="2" w:name="a2"/>
      <w:r w:rsidRPr="002F4369">
        <w:rPr>
          <w:rFonts w:eastAsia="Times New Roman" w:cs="Times New Roman"/>
          <w:sz w:val="24"/>
          <w:szCs w:val="24"/>
        </w:rPr>
        <w:t xml:space="preserve"> . </w:t>
      </w:r>
      <w:r w:rsidRPr="002F4369">
        <w:rPr>
          <w:rFonts w:eastAsia="Times New Roman" w:cs="Times New Roman"/>
          <w:sz w:val="24"/>
          <w:szCs w:val="24"/>
        </w:rPr>
        <w:br/>
        <w:t>  1286 erließ Honorius IV. ein Reskript gegen den Priester Petrus dictus Tyes aus der Diözese Sens, der sich mit Hilfe gefälschter Briefe auf den Namen Martins IV. als apostolischer Nuntius für England ausgegeben und Prokurationsleistungen erschwindelt hatte</w:t>
      </w:r>
      <w:bookmarkStart w:id="3" w:name="a3"/>
      <w:r w:rsidRPr="002F4369">
        <w:rPr>
          <w:rFonts w:eastAsia="Times New Roman" w:cs="Times New Roman"/>
          <w:sz w:val="24"/>
          <w:szCs w:val="24"/>
        </w:rPr>
        <w:t>.</w:t>
      </w:r>
      <w:r w:rsidR="00405D8C">
        <w:rPr>
          <w:rStyle w:val="Funotenzeichen"/>
          <w:rFonts w:eastAsia="Times New Roman" w:cs="Times New Roman"/>
          <w:sz w:val="24"/>
          <w:szCs w:val="24"/>
        </w:rPr>
        <w:footnoteReference w:id="4"/>
      </w:r>
      <w:r w:rsidR="00032C8A" w:rsidRPr="002F4369">
        <w:rPr>
          <w:rFonts w:eastAsia="Times New Roman" w:cs="Times New Roman"/>
          <w:sz w:val="24"/>
          <w:szCs w:val="24"/>
        </w:rPr>
        <w:tab/>
      </w:r>
    </w:p>
    <w:p w14:paraId="73E91CAA" w14:textId="3B3E4013" w:rsidR="001B41F6" w:rsidRPr="002F4369" w:rsidRDefault="001B41F6" w:rsidP="00032C8A">
      <w:pPr>
        <w:jc w:val="both"/>
        <w:rPr>
          <w:rFonts w:eastAsia="Times New Roman" w:cs="Times New Roman"/>
          <w:sz w:val="24"/>
          <w:szCs w:val="24"/>
        </w:rPr>
      </w:pPr>
      <w:r w:rsidRPr="002F4369">
        <w:rPr>
          <w:rFonts w:eastAsia="Times New Roman" w:cs="Times New Roman"/>
          <w:sz w:val="24"/>
          <w:szCs w:val="24"/>
        </w:rPr>
        <w:br/>
        <w:t>  Die Häufigkeit von erkannten Fälschungen führte auch zur Aufnahme entsprechender Muster in Formelsammlungen, allerdings nicht in der Sammlung des Kanzleibuches, sondern im Formelbuch der päpstlichen Pönitentiarie</w:t>
      </w:r>
      <w:bookmarkStart w:id="4" w:name="a4"/>
      <w:r w:rsidRPr="002F4369">
        <w:rPr>
          <w:rFonts w:eastAsia="Times New Roman" w:cs="Times New Roman"/>
          <w:sz w:val="24"/>
          <w:szCs w:val="24"/>
        </w:rPr>
        <w:t>.</w:t>
      </w:r>
      <w:r w:rsidR="005677B1">
        <w:rPr>
          <w:rStyle w:val="Funotenzeichen"/>
          <w:rFonts w:eastAsia="Times New Roman" w:cs="Times New Roman"/>
          <w:sz w:val="24"/>
          <w:szCs w:val="24"/>
        </w:rPr>
        <w:footnoteReference w:id="5"/>
      </w:r>
      <w:r w:rsidRPr="002F4369">
        <w:rPr>
          <w:rFonts w:eastAsia="Times New Roman" w:cs="Times New Roman"/>
          <w:sz w:val="24"/>
          <w:szCs w:val="24"/>
        </w:rPr>
        <w:t xml:space="preserve"> Dabei liegt allerdings ein relativ einfacher Fall zugrunde. Ein armer Kleriker hatte bekannt, daß er in einer Urkunde des verstorbenen Papstes H., vermutlich Honorius III., auf Betreiben eines Genossen eine Rasur vorgenommen und an Stelle eines quinto ein quarto gesetzt habe. In Unkenntnis dessen, daß er dadurch der Exkommunikation verfallen sei, habe er danach Subdiakonats- und Diakonatsweihe empfangen, ohne vorher die Absolution zu erlangen. Nach Erkenntnis seiner Schuld habe er sich an den Papst um Absolution gewandt und diese schließlich durch den Pönitentiar erhalten. Dabei war der Erzbischof von Rouen um einen schriftlichen Bericht </w:t>
      </w:r>
      <w:r w:rsidRPr="002F4369">
        <w:rPr>
          <w:rFonts w:eastAsia="Times New Roman" w:cs="Times New Roman"/>
          <w:i/>
          <w:iCs/>
          <w:sz w:val="24"/>
          <w:szCs w:val="24"/>
        </w:rPr>
        <w:t>de vita et moribus</w:t>
      </w:r>
      <w:r w:rsidRPr="002F4369">
        <w:rPr>
          <w:rFonts w:eastAsia="Times New Roman" w:cs="Times New Roman"/>
          <w:sz w:val="24"/>
          <w:szCs w:val="24"/>
        </w:rPr>
        <w:t xml:space="preserve"> des Übeltäters gebeten worden, nach dessen Vorliegen der Erzbischof den Auftrag erhielt, den Täter von seinen bisher erlangten ordines zu suspendieren und ihm den Zugang zu weiteren Weihen zu untersagen</w:t>
      </w:r>
      <w:bookmarkStart w:id="5" w:name="a5"/>
      <w:r w:rsidRPr="002F4369">
        <w:rPr>
          <w:rFonts w:eastAsia="Times New Roman" w:cs="Times New Roman"/>
          <w:sz w:val="24"/>
          <w:szCs w:val="24"/>
        </w:rPr>
        <w:t>.</w:t>
      </w:r>
      <w:r w:rsidR="008E2D54">
        <w:rPr>
          <w:rStyle w:val="Funotenzeichen"/>
          <w:rFonts w:eastAsia="Times New Roman" w:cs="Times New Roman"/>
          <w:sz w:val="24"/>
          <w:szCs w:val="24"/>
        </w:rPr>
        <w:footnoteReference w:id="6"/>
      </w:r>
      <w:r w:rsidR="008E2D54">
        <w:rPr>
          <w:rFonts w:eastAsia="Times New Roman" w:cs="Times New Roman"/>
          <w:sz w:val="24"/>
          <w:szCs w:val="24"/>
        </w:rPr>
        <w:tab/>
      </w:r>
      <w:r w:rsidRPr="002F4369">
        <w:rPr>
          <w:rFonts w:eastAsia="Times New Roman" w:cs="Times New Roman"/>
          <w:sz w:val="24"/>
          <w:szCs w:val="24"/>
        </w:rPr>
        <w:t xml:space="preserve"> </w:t>
      </w:r>
      <w:r w:rsidRPr="002F4369">
        <w:rPr>
          <w:rFonts w:eastAsia="Times New Roman" w:cs="Times New Roman"/>
          <w:sz w:val="24"/>
          <w:szCs w:val="24"/>
        </w:rPr>
        <w:br/>
      </w:r>
      <w:r w:rsidRPr="002F4369">
        <w:rPr>
          <w:rFonts w:eastAsia="Times New Roman" w:cs="Times New Roman"/>
          <w:sz w:val="24"/>
          <w:szCs w:val="24"/>
        </w:rPr>
        <w:br/>
        <w:t xml:space="preserve">In der Kanzleiordnung Nikolaus III. wurde festgelegt, daß Urkunden gegen Fälscher von Papsturkunden künftig der Kontrolle durch Verlesung vor dem Vizekanzler unterworfen werden sollten, nachdem sie bis dahin anscheinend zu den </w:t>
      </w:r>
      <w:r w:rsidRPr="002F4369">
        <w:rPr>
          <w:rFonts w:eastAsia="Times New Roman" w:cs="Times New Roman"/>
          <w:i/>
          <w:iCs/>
          <w:sz w:val="24"/>
          <w:szCs w:val="24"/>
        </w:rPr>
        <w:t>litterae dandae</w:t>
      </w:r>
      <w:r w:rsidRPr="002F4369">
        <w:rPr>
          <w:rFonts w:eastAsia="Times New Roman" w:cs="Times New Roman"/>
          <w:sz w:val="24"/>
          <w:szCs w:val="24"/>
        </w:rPr>
        <w:t xml:space="preserve"> gehört hatten</w:t>
      </w:r>
      <w:bookmarkStart w:id="6" w:name="a6"/>
      <w:r w:rsidRPr="002F4369">
        <w:rPr>
          <w:rFonts w:eastAsia="Times New Roman" w:cs="Times New Roman"/>
          <w:sz w:val="24"/>
          <w:szCs w:val="24"/>
        </w:rPr>
        <w:t>.</w:t>
      </w:r>
      <w:r w:rsidR="008E2D54">
        <w:rPr>
          <w:rStyle w:val="Funotenzeichen"/>
          <w:rFonts w:eastAsia="Times New Roman" w:cs="Times New Roman"/>
          <w:sz w:val="24"/>
          <w:szCs w:val="24"/>
        </w:rPr>
        <w:footnoteReference w:id="7"/>
      </w:r>
      <w:r w:rsidRPr="002F4369">
        <w:rPr>
          <w:rFonts w:eastAsia="Times New Roman" w:cs="Times New Roman"/>
          <w:sz w:val="24"/>
          <w:szCs w:val="24"/>
        </w:rPr>
        <w:t xml:space="preserve"> Diese frühere Zuordnung spricht dafür, daß derartige Fälle als Routineangelegenheiten angesehen wurden, also relativ häufig gewesen sein mußten. Die Veränderung unter Nikolaus III. bedeutet nun allerdings nicht, daß Fälschungen etwa schlagartig seltener geworden wären, sondern zeigt ein verändertes Verantwortungsbewußtsein des Papstes, der sich nun zwar nicht direkt persönlich mit diesem Mißbrauch seines Namens auseinandersetzen wollte, aber doch den Leiter der Kanzlei damit beauftragte. </w:t>
      </w:r>
      <w:r w:rsidR="004D7CD8">
        <w:rPr>
          <w:rFonts w:eastAsia="Times New Roman" w:cs="Times New Roman"/>
          <w:sz w:val="24"/>
          <w:szCs w:val="24"/>
        </w:rPr>
        <w:tab/>
      </w:r>
      <w:r w:rsidRPr="002F4369">
        <w:rPr>
          <w:rFonts w:eastAsia="Times New Roman" w:cs="Times New Roman"/>
          <w:sz w:val="24"/>
          <w:szCs w:val="24"/>
        </w:rPr>
        <w:br/>
      </w:r>
      <w:r w:rsidRPr="002F4369">
        <w:rPr>
          <w:rFonts w:eastAsia="Times New Roman" w:cs="Times New Roman"/>
          <w:sz w:val="24"/>
          <w:szCs w:val="24"/>
        </w:rPr>
        <w:br/>
        <w:t xml:space="preserve"> Fälschungen waren nicht auf das Mittelalter beschränkt und nicht nicht immer auf unmittelbaren materiellen Gewinn ausgerichtet. Neben der schon klassischen "feststellenden" Fälschung, die darauf abzielte, an sich vorhandene tatsächliche Rechtstitel, deren Originalfassung aus irgendwelchen Gründen verloren gegangen war, wieder in vorzeigbare schriftliche Form zu bringen gab es politisch motivierte Spuria wie die Österreichischen Freiheitsbriefe, deren Unechtheit schon Lorenzo Valla erkannte, die aber dennoch zur Einbürgerung des Titels eines </w:t>
      </w:r>
      <w:r w:rsidRPr="002F4369">
        <w:rPr>
          <w:rFonts w:eastAsia="Times New Roman" w:cs="Times New Roman"/>
          <w:i/>
          <w:iCs/>
          <w:sz w:val="24"/>
          <w:szCs w:val="24"/>
        </w:rPr>
        <w:t>archidux</w:t>
      </w:r>
      <w:r w:rsidRPr="002F4369">
        <w:rPr>
          <w:rFonts w:eastAsia="Times New Roman" w:cs="Times New Roman"/>
          <w:sz w:val="24"/>
          <w:szCs w:val="24"/>
        </w:rPr>
        <w:t xml:space="preserve"> für den Herzog von Österreich führten. In der Neuzeit spielt vor allem genealogisches Interesse bzw. die Notwendigkeit, Lücken im Stammbaum bei einer Adelsprobe zu schließen, eine Rolle, aber auch Gelehrte schreckten nicht immer davor zurück, ihre Quellennachweise selbst herzustellen. Die Herstellung eines spätantiken Militärdiploms durch Absolventen des Instituts für Österreichische Geschichtsforschung diente wohl vor allem dazu, sich für die vielleicht zu ausgedehnte Lektüre von Beispielen älterer und jüngerer römischer Kursive zu revanchieren. </w:t>
      </w:r>
      <w:r w:rsidR="00032C8A" w:rsidRPr="002F4369">
        <w:rPr>
          <w:rFonts w:eastAsia="Times New Roman" w:cs="Times New Roman"/>
          <w:sz w:val="24"/>
          <w:szCs w:val="24"/>
        </w:rPr>
        <w:tab/>
      </w:r>
      <w:r w:rsidRPr="002F4369">
        <w:rPr>
          <w:rFonts w:eastAsia="Times New Roman" w:cs="Times New Roman"/>
          <w:sz w:val="24"/>
          <w:szCs w:val="24"/>
        </w:rPr>
        <w:br/>
      </w:r>
      <w:r w:rsidRPr="002F4369">
        <w:rPr>
          <w:rFonts w:eastAsia="Times New Roman" w:cs="Times New Roman"/>
          <w:sz w:val="24"/>
          <w:szCs w:val="24"/>
        </w:rPr>
        <w:br/>
        <w:t xml:space="preserve"> Überall, wo Urkunden in Gebrauch waren, gab es auch das Phänomen der </w:t>
      </w:r>
      <w:r w:rsidRPr="002F4369">
        <w:rPr>
          <w:rFonts w:eastAsia="Times New Roman" w:cs="Times New Roman"/>
          <w:b/>
          <w:bCs/>
          <w:sz w:val="24"/>
          <w:szCs w:val="24"/>
        </w:rPr>
        <w:t>Urkundenfälschung</w:t>
      </w:r>
      <w:r w:rsidRPr="002F4369">
        <w:rPr>
          <w:rFonts w:eastAsia="Times New Roman" w:cs="Times New Roman"/>
          <w:sz w:val="24"/>
          <w:szCs w:val="24"/>
        </w:rPr>
        <w:t>. Das Delikt ist auch im modernen Strafrecht noch vorgesehen, allerdings bei deutlich geringerem Strafrahmen, vor allem, wenn man ihn mit den Bestimmungen gegen Fälscher von Königs- bzw. Kaiserurkunden vergleicht, die als Majestätsverbrecher angesehen und deshalb mit Kapitalstrafen bedroht wurden. Fälschungen sind kein Privileg des abendländischen Kulturkreises und des byzantinischen Reiches. Ein als gefälscht erkanntes Privileg des Propheten Mohammed wiesen verschiedene jüdische Gemeinden des Mittelalters vor, um eine Befreiung von der islamischen Kopfsteuer zu erlangen. Der Vertrag mit dem Propheten scheint in verschiedenen Versionen im Umlauf gewesen zu sein, von denen sich eine aus der Kairoer Geniza im Wortlaut erhalten hat. Verschiedene islamische Rechtsgelehrte haben den jeweils vorgelegten Vertrag als Fälschung erkannt, wobei bei der Beurteilung vor allem irrige Zeugennamen eine Rolle spielen. Die eingehendste Widerlegung mit modern anmutendem methodischem Vorgehen in Art des Diplomatikers stammt von Ibn Taimiyya (1263 - 1328). An äußeren Merkmalen untersuchte er die Schrift, die nach seinen Ergebnissen von verschiedenen Händen stammte und somit nicht von dem als Schreiber genannten Ali sein konnte. Daneben monierte Ibn Taimiyya Verstöße gegen die arabische Hochsprache sowie unpassende Grußformeln, außerdem verrieten ihm rechtshistorische Anachronismen die Fiktion. Auch er stellte Fehler in der Zeugenliste fest, außerdem führte er einen Stil- und Diktatvergleich mit echten Verträgen des Propheten durch, die leider nicht genauer angegeben werden. Ferner fragte er nach Überlieferung und Funktion der Fälschung, die erstmals rund 300 Jahre nach dem angeblichen Abschluß des Vertrages zwischen den Juden von Haibar und dem Propheten vorgewiesen wurde. Bei der Untersuchung der Urkunde können wir also deutliche Parallelen zur Vorgehensweise etwa der Päpste erkennen</w:t>
      </w:r>
      <w:bookmarkStart w:id="7" w:name="a7"/>
      <w:r w:rsidRPr="002F4369">
        <w:rPr>
          <w:rFonts w:eastAsia="Times New Roman" w:cs="Times New Roman"/>
          <w:sz w:val="24"/>
          <w:szCs w:val="24"/>
        </w:rPr>
        <w:t xml:space="preserve">. </w:t>
      </w:r>
      <w:r w:rsidR="00122063">
        <w:rPr>
          <w:rStyle w:val="Funotenzeichen"/>
          <w:rFonts w:eastAsia="Times New Roman" w:cs="Times New Roman"/>
          <w:sz w:val="24"/>
          <w:szCs w:val="24"/>
        </w:rPr>
        <w:footnoteReference w:id="8"/>
      </w:r>
    </w:p>
    <w:p w14:paraId="2C36B2BD" w14:textId="5F9A1A72" w:rsidR="001B41F6" w:rsidRPr="004D7CD8" w:rsidRDefault="001B41F6">
      <w:pPr>
        <w:rPr>
          <w:rFonts w:eastAsia="Times New Roman" w:cs="Times New Roman"/>
        </w:rPr>
      </w:pPr>
      <w:r>
        <w:rPr>
          <w:rFonts w:eastAsia="Times New Roman" w:cs="Times New Roman"/>
        </w:rPr>
        <w:pict w14:anchorId="68392FD0">
          <v:rect id="_x0000_i1043" style="width:0;height:1.5pt" o:hralign="center" o:hrstd="t" o:hr="t" fillcolor="#aaa" stroked="f"/>
        </w:pict>
      </w:r>
      <w:bookmarkEnd w:id="1"/>
      <w:bookmarkEnd w:id="2"/>
      <w:bookmarkEnd w:id="3"/>
      <w:bookmarkEnd w:id="4"/>
      <w:bookmarkEnd w:id="5"/>
      <w:bookmarkEnd w:id="6"/>
      <w:bookmarkEnd w:id="7"/>
    </w:p>
    <w:p w14:paraId="4973C8A3" w14:textId="77777777" w:rsidR="001B41F6" w:rsidRDefault="001B41F6">
      <w:pPr>
        <w:rPr>
          <w:rFonts w:eastAsia="Times New Roman" w:cs="Times New Roman"/>
        </w:rPr>
      </w:pPr>
      <w:r>
        <w:rPr>
          <w:rFonts w:eastAsia="Times New Roman" w:cs="Times New Roman"/>
        </w:rPr>
        <w:pict w14:anchorId="74EC1E3E">
          <v:rect id="_x0000_i1044" style="width:0;height:1.5pt" o:hralign="center" o:hrstd="t" o:hr="t" fillcolor="#aaa" stroked="f"/>
        </w:pict>
      </w:r>
    </w:p>
    <w:p w14:paraId="5D506C1B" w14:textId="129DD43A" w:rsidR="00C10D03" w:rsidRDefault="00C10D03">
      <w:pPr>
        <w:rPr>
          <w:rFonts w:eastAsia="Times New Roman" w:cs="Times New Roman"/>
        </w:rPr>
      </w:pPr>
      <w:r>
        <w:rPr>
          <w:rFonts w:eastAsia="Times New Roman" w:cs="Times New Roman"/>
        </w:rPr>
        <w:br w:type="page"/>
      </w:r>
    </w:p>
    <w:p w14:paraId="4BE36A6B" w14:textId="77777777" w:rsidR="00C10D03" w:rsidRDefault="00C10D03">
      <w:pPr>
        <w:rPr>
          <w:rFonts w:eastAsia="Times New Roman" w:cs="Times New Roman"/>
        </w:rPr>
      </w:pPr>
    </w:p>
    <w:p w14:paraId="49CE8579" w14:textId="46D09B3B" w:rsidR="00C10D03" w:rsidRDefault="00C10D03" w:rsidP="00C10D03">
      <w:pPr>
        <w:pStyle w:val="berschrift4"/>
        <w:jc w:val="center"/>
      </w:pPr>
      <w:r>
        <w:t>Literaturhinweise zu Fälschungen</w:t>
      </w:r>
    </w:p>
    <w:p w14:paraId="12E34143" w14:textId="77777777" w:rsidR="00C10D03" w:rsidRDefault="00C10D03" w:rsidP="00C10D03">
      <w:pPr>
        <w:rPr>
          <w:rFonts w:eastAsia="Times New Roman" w:cs="Times New Roman"/>
        </w:rPr>
      </w:pPr>
    </w:p>
    <w:p w14:paraId="334B53B3" w14:textId="77777777" w:rsidR="00C10D03" w:rsidRDefault="00C10D03" w:rsidP="00C10D03">
      <w:pPr>
        <w:rPr>
          <w:rFonts w:eastAsia="Times New Roman" w:cs="Times New Roman"/>
        </w:rPr>
      </w:pPr>
      <w:r>
        <w:rPr>
          <w:rFonts w:eastAsia="Times New Roman" w:cs="Times New Roman"/>
        </w:rPr>
        <w:pict w14:anchorId="33F641A5">
          <v:rect id="_x0000_i1047" style="width:0;height:1.5pt" o:hralign="center" o:hrstd="t" o:hr="t" fillcolor="#aaa" stroked="f"/>
        </w:pict>
      </w:r>
    </w:p>
    <w:p w14:paraId="6BD6C1E2" w14:textId="77777777" w:rsidR="00C10D03" w:rsidRDefault="00C10D03" w:rsidP="00C10D03">
      <w:pPr>
        <w:numPr>
          <w:ilvl w:val="0"/>
          <w:numId w:val="1"/>
        </w:numPr>
        <w:spacing w:before="100" w:beforeAutospacing="1" w:after="240"/>
        <w:rPr>
          <w:rFonts w:eastAsia="Times New Roman" w:cs="Times New Roman"/>
        </w:rPr>
      </w:pPr>
      <w:r>
        <w:rPr>
          <w:rFonts w:eastAsia="Times New Roman" w:cs="Times New Roman"/>
        </w:rPr>
        <w:t xml:space="preserve">Horst </w:t>
      </w:r>
      <w:r>
        <w:rPr>
          <w:rFonts w:eastAsia="Times New Roman" w:cs="Times New Roman"/>
          <w:b/>
          <w:bCs/>
        </w:rPr>
        <w:t>Fuhrmann</w:t>
      </w:r>
      <w:r>
        <w:rPr>
          <w:rFonts w:eastAsia="Times New Roman" w:cs="Times New Roman"/>
        </w:rPr>
        <w:t>: Die Fälschungen im Mittelalter, in: HZ 197 (1963) , S. 529-601.</w:t>
      </w:r>
    </w:p>
    <w:p w14:paraId="28D8DC5C" w14:textId="77777777" w:rsidR="00C10D03" w:rsidRDefault="00C10D03" w:rsidP="00C10D03">
      <w:pPr>
        <w:numPr>
          <w:ilvl w:val="0"/>
          <w:numId w:val="1"/>
        </w:numPr>
        <w:spacing w:before="100" w:beforeAutospacing="1" w:after="100" w:afterAutospacing="1"/>
        <w:rPr>
          <w:rFonts w:eastAsia="Times New Roman" w:cs="Times New Roman"/>
        </w:rPr>
      </w:pPr>
      <w:r>
        <w:rPr>
          <w:rFonts w:eastAsia="Times New Roman" w:cs="Times New Roman"/>
        </w:rPr>
        <w:t xml:space="preserve">Hermann U. </w:t>
      </w:r>
      <w:r>
        <w:rPr>
          <w:rFonts w:eastAsia="Times New Roman" w:cs="Times New Roman"/>
          <w:b/>
          <w:bCs/>
        </w:rPr>
        <w:t>Kantorowicz</w:t>
      </w:r>
      <w:r>
        <w:rPr>
          <w:rFonts w:eastAsia="Times New Roman" w:cs="Times New Roman"/>
        </w:rPr>
        <w:t xml:space="preserve">: Schriftvergleichung und Urkundenfälschung. Beitrag zur Geschichte der Diplomatik im Mittelalter, QFIAB 9 (1906) 38-56 </w:t>
      </w:r>
    </w:p>
    <w:p w14:paraId="228A8692" w14:textId="77777777" w:rsidR="00C10D03" w:rsidRDefault="00C10D03" w:rsidP="00C10D03">
      <w:pPr>
        <w:numPr>
          <w:ilvl w:val="0"/>
          <w:numId w:val="1"/>
        </w:numPr>
        <w:spacing w:before="100" w:beforeAutospacing="1" w:after="240"/>
        <w:rPr>
          <w:rFonts w:eastAsia="Times New Roman" w:cs="Times New Roman"/>
        </w:rPr>
      </w:pPr>
      <w:r>
        <w:rPr>
          <w:rFonts w:eastAsia="Times New Roman" w:cs="Times New Roman"/>
        </w:rPr>
        <w:t xml:space="preserve">Reinhard </w:t>
      </w:r>
      <w:r>
        <w:rPr>
          <w:rFonts w:eastAsia="Times New Roman" w:cs="Times New Roman"/>
          <w:b/>
          <w:bCs/>
        </w:rPr>
        <w:t>Härtel</w:t>
      </w:r>
      <w:r>
        <w:rPr>
          <w:rFonts w:eastAsia="Times New Roman" w:cs="Times New Roman"/>
        </w:rPr>
        <w:t xml:space="preserve">: Historisches Denken bei mittelalterlichen Fälschern. In: Falsos y falsificaciones de documentos diplomáticos en la edad media, Zaragoza1991 , S. 87-121 </w:t>
      </w:r>
    </w:p>
    <w:p w14:paraId="37595E04" w14:textId="77777777" w:rsidR="00C10D03" w:rsidRDefault="00C10D03" w:rsidP="00C10D03">
      <w:pPr>
        <w:numPr>
          <w:ilvl w:val="0"/>
          <w:numId w:val="1"/>
        </w:numPr>
        <w:spacing w:before="100" w:beforeAutospacing="1" w:after="100" w:afterAutospacing="1"/>
        <w:rPr>
          <w:rFonts w:eastAsia="Times New Roman" w:cs="Times New Roman"/>
        </w:rPr>
      </w:pPr>
      <w:r>
        <w:rPr>
          <w:rFonts w:eastAsia="Times New Roman" w:cs="Times New Roman"/>
        </w:rPr>
        <w:t xml:space="preserve">Hans </w:t>
      </w:r>
      <w:r>
        <w:rPr>
          <w:rFonts w:eastAsia="Times New Roman" w:cs="Times New Roman"/>
          <w:b/>
          <w:bCs/>
        </w:rPr>
        <w:t>Jänichen</w:t>
      </w:r>
      <w:r>
        <w:rPr>
          <w:rFonts w:eastAsia="Times New Roman" w:cs="Times New Roman"/>
        </w:rPr>
        <w:t xml:space="preserve">: Zur Herkunft der Reichenauer Fälscher des 12. Jahrhunderts. In: Helmut Maurer (Hg.) , Die Abtei Reichenau, Sigmaringen1974 , S. 277-287 </w:t>
      </w:r>
    </w:p>
    <w:p w14:paraId="7A788429" w14:textId="77777777" w:rsidR="00C10D03" w:rsidRDefault="00C10D03" w:rsidP="00C10D03">
      <w:pPr>
        <w:numPr>
          <w:ilvl w:val="0"/>
          <w:numId w:val="1"/>
        </w:numPr>
        <w:spacing w:before="100" w:beforeAutospacing="1" w:after="100" w:afterAutospacing="1"/>
        <w:rPr>
          <w:rFonts w:eastAsia="Times New Roman" w:cs="Times New Roman"/>
        </w:rPr>
      </w:pPr>
      <w:r>
        <w:rPr>
          <w:rFonts w:eastAsia="Times New Roman" w:cs="Times New Roman"/>
        </w:rPr>
        <w:t xml:space="preserve">Hans </w:t>
      </w:r>
      <w:r>
        <w:rPr>
          <w:rFonts w:eastAsia="Times New Roman" w:cs="Times New Roman"/>
          <w:b/>
          <w:bCs/>
        </w:rPr>
        <w:t>Hirsch</w:t>
      </w:r>
      <w:r>
        <w:rPr>
          <w:rFonts w:eastAsia="Times New Roman" w:cs="Times New Roman"/>
        </w:rPr>
        <w:t xml:space="preserve">, Die echten und unechten Stiftungsurkunden der Abtei Banz. Ein Beitrag zur Geschichte des fränkischen Eigenklostertums, Akademie der Wissenschaften in Wien, Phil. - hist. Klasse, Sitzungsberichte, 189. Band, 1. Abhandlung, Wien 1919, 31 S.; 3 Tafeln </w:t>
      </w:r>
    </w:p>
    <w:p w14:paraId="7C730862" w14:textId="77777777" w:rsidR="00C10D03" w:rsidRDefault="00C10D03" w:rsidP="00C10D03">
      <w:pPr>
        <w:numPr>
          <w:ilvl w:val="0"/>
          <w:numId w:val="1"/>
        </w:numPr>
        <w:spacing w:before="100" w:beforeAutospacing="1" w:after="100" w:afterAutospacing="1"/>
        <w:rPr>
          <w:rFonts w:eastAsia="Times New Roman" w:cs="Times New Roman"/>
        </w:rPr>
      </w:pPr>
      <w:r>
        <w:rPr>
          <w:rFonts w:eastAsia="Times New Roman" w:cs="Times New Roman"/>
        </w:rPr>
        <w:t xml:space="preserve">Hans Eberhard </w:t>
      </w:r>
      <w:r>
        <w:rPr>
          <w:rFonts w:eastAsia="Times New Roman" w:cs="Times New Roman"/>
          <w:b/>
          <w:bCs/>
        </w:rPr>
        <w:t>Mayer</w:t>
      </w:r>
      <w:r>
        <w:rPr>
          <w:rFonts w:eastAsia="Times New Roman" w:cs="Times New Roman"/>
        </w:rPr>
        <w:t xml:space="preserve"> , Marseilles Levantehandel und ein akkonesisches Fälscheratelier des 13. Jahrhunderts [Bibl. DHIR 36], Tübingen 1972 </w:t>
      </w:r>
    </w:p>
    <w:p w14:paraId="6415A297" w14:textId="77777777" w:rsidR="00C10D03" w:rsidRDefault="00C10D03" w:rsidP="00C10D03">
      <w:pPr>
        <w:numPr>
          <w:ilvl w:val="0"/>
          <w:numId w:val="1"/>
        </w:numPr>
        <w:spacing w:before="100" w:beforeAutospacing="1" w:after="100" w:afterAutospacing="1"/>
        <w:rPr>
          <w:rFonts w:eastAsia="Times New Roman" w:cs="Times New Roman"/>
        </w:rPr>
      </w:pPr>
      <w:r>
        <w:rPr>
          <w:rFonts w:eastAsia="Times New Roman" w:cs="Times New Roman"/>
        </w:rPr>
        <w:t xml:space="preserve">Hermann </w:t>
      </w:r>
      <w:r>
        <w:rPr>
          <w:rFonts w:eastAsia="Times New Roman" w:cs="Times New Roman"/>
          <w:b/>
          <w:bCs/>
        </w:rPr>
        <w:t>Hallauer</w:t>
      </w:r>
      <w:r>
        <w:rPr>
          <w:rFonts w:eastAsia="Times New Roman" w:cs="Times New Roman"/>
        </w:rPr>
        <w:t xml:space="preserve">: Gefälschte Cusanus-Urkunden, WDGBll. 42 (1980) 187-19 </w:t>
      </w:r>
    </w:p>
    <w:p w14:paraId="2D0B78F6" w14:textId="77777777" w:rsidR="00C10D03" w:rsidRDefault="00C10D03" w:rsidP="00C10D03">
      <w:pPr>
        <w:numPr>
          <w:ilvl w:val="0"/>
          <w:numId w:val="1"/>
        </w:numPr>
        <w:spacing w:before="100" w:beforeAutospacing="1" w:after="100" w:afterAutospacing="1"/>
        <w:rPr>
          <w:rFonts w:eastAsia="Times New Roman" w:cs="Times New Roman"/>
        </w:rPr>
      </w:pPr>
      <w:r>
        <w:rPr>
          <w:rFonts w:eastAsia="Times New Roman" w:cs="Times New Roman"/>
        </w:rPr>
        <w:t xml:space="preserve">Dieter </w:t>
      </w:r>
      <w:r>
        <w:rPr>
          <w:rFonts w:eastAsia="Times New Roman" w:cs="Times New Roman"/>
          <w:b/>
          <w:bCs/>
        </w:rPr>
        <w:t>Scheler</w:t>
      </w:r>
      <w:r>
        <w:rPr>
          <w:rFonts w:eastAsia="Times New Roman" w:cs="Times New Roman"/>
        </w:rPr>
        <w:t xml:space="preserve">, Die fränkische Vorgeschichte des ersten Reichsgesetzes gegen Weinfälschung, BHVB 120, 1984, 489 - 504 </w:t>
      </w:r>
    </w:p>
    <w:p w14:paraId="2C2C43BE" w14:textId="77777777" w:rsidR="00C10D03" w:rsidRDefault="00C10D03" w:rsidP="00C10D03">
      <w:pPr>
        <w:numPr>
          <w:ilvl w:val="0"/>
          <w:numId w:val="1"/>
        </w:numPr>
        <w:spacing w:before="100" w:beforeAutospacing="1" w:after="240"/>
        <w:rPr>
          <w:rFonts w:eastAsia="Times New Roman" w:cs="Times New Roman"/>
        </w:rPr>
      </w:pPr>
      <w:r>
        <w:rPr>
          <w:rFonts w:eastAsia="Times New Roman" w:cs="Times New Roman"/>
        </w:rPr>
        <w:t xml:space="preserve">Dieter </w:t>
      </w:r>
      <w:r>
        <w:rPr>
          <w:rFonts w:eastAsia="Times New Roman" w:cs="Times New Roman"/>
          <w:b/>
          <w:bCs/>
        </w:rPr>
        <w:t>Hägermann</w:t>
      </w:r>
      <w:r>
        <w:rPr>
          <w:rFonts w:eastAsia="Times New Roman" w:cs="Times New Roman"/>
        </w:rPr>
        <w:t xml:space="preserve">: Die Urkundenfälschungen auf Karl den Großen. Eine Übersicht. In: Die Fälschungen im Mittelalter III, Hannover1988 (MGH-Schriften 33,III) , S. 433-444 </w:t>
      </w:r>
    </w:p>
    <w:p w14:paraId="392FA9B7" w14:textId="77777777" w:rsidR="00C10D03" w:rsidRDefault="00C10D03" w:rsidP="00C10D03">
      <w:pPr>
        <w:numPr>
          <w:ilvl w:val="0"/>
          <w:numId w:val="1"/>
        </w:numPr>
        <w:spacing w:before="100" w:beforeAutospacing="1" w:after="100" w:afterAutospacing="1"/>
        <w:rPr>
          <w:rFonts w:eastAsia="Times New Roman" w:cs="Times New Roman"/>
        </w:rPr>
      </w:pPr>
      <w:r>
        <w:rPr>
          <w:rFonts w:eastAsia="Times New Roman" w:cs="Times New Roman"/>
        </w:rPr>
        <w:t xml:space="preserve">Hans C. </w:t>
      </w:r>
      <w:r>
        <w:rPr>
          <w:rFonts w:eastAsia="Times New Roman" w:cs="Times New Roman"/>
          <w:b/>
          <w:bCs/>
        </w:rPr>
        <w:t>Faußner</w:t>
      </w:r>
      <w:r>
        <w:rPr>
          <w:rFonts w:eastAsia="Times New Roman" w:cs="Times New Roman"/>
        </w:rPr>
        <w:t xml:space="preserve">: Königsurkunden-Fälschungen Wibalds von Stablo im bayrisch- österreichischen Rechtsgebiet aus diplomatischer und rechtshistorischer Sicht, Sigmaringen 1997 (Studien z. Rechts-,Wirtschafts- u. Kulturgeschichte; 18) </w:t>
      </w:r>
    </w:p>
    <w:p w14:paraId="748E9536" w14:textId="77777777" w:rsidR="00C10D03" w:rsidRDefault="00C10D03" w:rsidP="00C10D03">
      <w:pPr>
        <w:numPr>
          <w:ilvl w:val="0"/>
          <w:numId w:val="1"/>
        </w:numPr>
        <w:spacing w:before="100" w:beforeAutospacing="1" w:after="100" w:afterAutospacing="1"/>
        <w:rPr>
          <w:rFonts w:eastAsia="Times New Roman" w:cs="Times New Roman"/>
        </w:rPr>
      </w:pPr>
      <w:r>
        <w:rPr>
          <w:rFonts w:eastAsia="Times New Roman" w:cs="Times New Roman"/>
        </w:rPr>
        <w:t xml:space="preserve">Hans Constantin </w:t>
      </w:r>
      <w:r>
        <w:rPr>
          <w:rFonts w:eastAsia="Times New Roman" w:cs="Times New Roman"/>
          <w:b/>
          <w:bCs/>
        </w:rPr>
        <w:t>Faussner</w:t>
      </w:r>
      <w:r>
        <w:rPr>
          <w:rFonts w:eastAsia="Times New Roman" w:cs="Times New Roman"/>
        </w:rPr>
        <w:t xml:space="preserve">: Die Königsurkunden-Fälschungen Ottos von Freising aus rechtshistorischer Sicht, Sigmaringen1993 (Studien zur Rechts-, Wirtschafts- und Kulturgeschichte 13) </w:t>
      </w:r>
    </w:p>
    <w:p w14:paraId="1CFF409D" w14:textId="77777777" w:rsidR="00C10D03" w:rsidRDefault="00C10D03" w:rsidP="00C10D03">
      <w:pPr>
        <w:numPr>
          <w:ilvl w:val="0"/>
          <w:numId w:val="1"/>
        </w:numPr>
        <w:spacing w:before="100" w:beforeAutospacing="1" w:after="100" w:afterAutospacing="1"/>
        <w:rPr>
          <w:rFonts w:eastAsia="Times New Roman" w:cs="Times New Roman"/>
        </w:rPr>
      </w:pPr>
      <w:r>
        <w:rPr>
          <w:rFonts w:eastAsia="Times New Roman" w:cs="Times New Roman"/>
        </w:rPr>
        <w:t xml:space="preserve">Rudolf </w:t>
      </w:r>
      <w:r>
        <w:rPr>
          <w:rFonts w:eastAsia="Times New Roman" w:cs="Times New Roman"/>
          <w:b/>
          <w:bCs/>
        </w:rPr>
        <w:t>Schieffer</w:t>
      </w:r>
      <w:r>
        <w:rPr>
          <w:rFonts w:eastAsia="Times New Roman" w:cs="Times New Roman"/>
        </w:rPr>
        <w:t xml:space="preserve">: Otto von Freising ein Urkundenfälscher? In: Lothar Kolmer/Peter Segl (Hgg.), Regensburg, Bayern und Europa. Fs. Kurt Reindel zum 70. Geburtstag, Regensburg 1995, S. 245-256 </w:t>
      </w:r>
    </w:p>
    <w:p w14:paraId="075E9497" w14:textId="77777777" w:rsidR="00C10D03" w:rsidRDefault="00C10D03" w:rsidP="00C10D03">
      <w:pPr>
        <w:numPr>
          <w:ilvl w:val="0"/>
          <w:numId w:val="1"/>
        </w:numPr>
        <w:spacing w:before="100" w:beforeAutospacing="1" w:after="240"/>
        <w:rPr>
          <w:rFonts w:eastAsia="Times New Roman" w:cs="Times New Roman"/>
        </w:rPr>
      </w:pPr>
      <w:r>
        <w:rPr>
          <w:rFonts w:eastAsia="Times New Roman" w:cs="Times New Roman"/>
        </w:rPr>
        <w:t xml:space="preserve">Thomas </w:t>
      </w:r>
      <w:r>
        <w:rPr>
          <w:rFonts w:eastAsia="Times New Roman" w:cs="Times New Roman"/>
          <w:b/>
          <w:bCs/>
        </w:rPr>
        <w:t>Vogtherr</w:t>
      </w:r>
      <w:r>
        <w:rPr>
          <w:rFonts w:eastAsia="Times New Roman" w:cs="Times New Roman"/>
        </w:rPr>
        <w:t>, Ein "Atelier für kreative Diplomatik". Zu einigen Veröffentlichungen des Rechtshistorikers Hans Constantin Faußner, Archiv für Kulturgeschichte 78 (1996) S. 483- 497,</w:t>
      </w:r>
      <w:r>
        <w:rPr>
          <w:rFonts w:eastAsia="Times New Roman" w:cs="Times New Roman"/>
          <w:sz w:val="15"/>
          <w:szCs w:val="15"/>
        </w:rPr>
        <w:t>referiert die tollkühnen diplomatischen Thesen Faußners, demonstriert an Urkundenbeispielen aus Freising und Moosburg ihre Haltlosigkeit und stellt sie in die Tradition methodisch irregeleiteter "Fundamentalisten" des 17. - 20. Jh.</w:t>
      </w:r>
      <w:r>
        <w:rPr>
          <w:rFonts w:eastAsia="Times New Roman" w:cs="Times New Roman"/>
        </w:rPr>
        <w:t xml:space="preserve"> </w:t>
      </w:r>
    </w:p>
    <w:p w14:paraId="52771841" w14:textId="77777777" w:rsidR="00C10D03" w:rsidRDefault="00C10D03" w:rsidP="00C10D03">
      <w:pPr>
        <w:numPr>
          <w:ilvl w:val="0"/>
          <w:numId w:val="1"/>
        </w:numPr>
        <w:spacing w:before="100" w:beforeAutospacing="1" w:after="100" w:afterAutospacing="1"/>
        <w:rPr>
          <w:rFonts w:eastAsia="Times New Roman" w:cs="Times New Roman"/>
        </w:rPr>
      </w:pPr>
      <w:r>
        <w:rPr>
          <w:rFonts w:eastAsia="Times New Roman" w:cs="Times New Roman"/>
        </w:rPr>
        <w:t xml:space="preserve">Hans </w:t>
      </w:r>
      <w:r>
        <w:rPr>
          <w:rFonts w:eastAsia="Times New Roman" w:cs="Times New Roman"/>
          <w:b/>
          <w:bCs/>
        </w:rPr>
        <w:t>Wibel</w:t>
      </w:r>
      <w:r>
        <w:rPr>
          <w:rFonts w:eastAsia="Times New Roman" w:cs="Times New Roman"/>
        </w:rPr>
        <w:t xml:space="preserve">: Die Urkundenfälschungen Georg Friedrich Schotts, NA 29 (1904) 653-765 </w:t>
      </w:r>
    </w:p>
    <w:p w14:paraId="3DEA66AE" w14:textId="77777777" w:rsidR="00C10D03" w:rsidRDefault="00C10D03" w:rsidP="00C10D03">
      <w:pPr>
        <w:numPr>
          <w:ilvl w:val="0"/>
          <w:numId w:val="1"/>
        </w:numPr>
        <w:spacing w:before="100" w:beforeAutospacing="1" w:after="100" w:afterAutospacing="1"/>
        <w:rPr>
          <w:rFonts w:eastAsia="Times New Roman" w:cs="Times New Roman"/>
        </w:rPr>
      </w:pPr>
      <w:r>
        <w:rPr>
          <w:rFonts w:eastAsia="Times New Roman" w:cs="Times New Roman"/>
        </w:rPr>
        <w:t xml:space="preserve">Hans </w:t>
      </w:r>
      <w:r>
        <w:rPr>
          <w:rFonts w:eastAsia="Times New Roman" w:cs="Times New Roman"/>
          <w:b/>
          <w:bCs/>
        </w:rPr>
        <w:t>Wibel</w:t>
      </w:r>
      <w:r>
        <w:rPr>
          <w:rFonts w:eastAsia="Times New Roman" w:cs="Times New Roman"/>
        </w:rPr>
        <w:t xml:space="preserve">: Fünf Urkundenfälschungen Franz Joseph Bodmanns, NA 30 (1905) 165-172 </w:t>
      </w:r>
    </w:p>
    <w:p w14:paraId="6471FEB8" w14:textId="77777777" w:rsidR="00C10D03" w:rsidRDefault="00C10D03" w:rsidP="00C10D03">
      <w:pPr>
        <w:numPr>
          <w:ilvl w:val="0"/>
          <w:numId w:val="1"/>
        </w:numPr>
        <w:spacing w:before="100" w:beforeAutospacing="1" w:after="100" w:afterAutospacing="1"/>
        <w:rPr>
          <w:rFonts w:eastAsia="Times New Roman" w:cs="Times New Roman"/>
        </w:rPr>
      </w:pPr>
      <w:r>
        <w:rPr>
          <w:rFonts w:eastAsia="Times New Roman" w:cs="Times New Roman"/>
        </w:rPr>
        <w:t xml:space="preserve">Alfred </w:t>
      </w:r>
      <w:r>
        <w:rPr>
          <w:rFonts w:eastAsia="Times New Roman" w:cs="Times New Roman"/>
          <w:b/>
          <w:bCs/>
        </w:rPr>
        <w:t>Hessel</w:t>
      </w:r>
      <w:r>
        <w:rPr>
          <w:rFonts w:eastAsia="Times New Roman" w:cs="Times New Roman"/>
        </w:rPr>
        <w:t xml:space="preserve">: Von modernen Fälschern, AUF. 12 (1931 /2) 1-12 </w:t>
      </w:r>
    </w:p>
    <w:p w14:paraId="0445CD10" w14:textId="77777777" w:rsidR="00C10D03" w:rsidRDefault="00C10D03" w:rsidP="00C10D03">
      <w:pPr>
        <w:numPr>
          <w:ilvl w:val="0"/>
          <w:numId w:val="1"/>
        </w:numPr>
        <w:spacing w:before="100" w:beforeAutospacing="1" w:after="240"/>
        <w:rPr>
          <w:rFonts w:eastAsia="Times New Roman" w:cs="Times New Roman"/>
        </w:rPr>
      </w:pPr>
      <w:r>
        <w:rPr>
          <w:rFonts w:eastAsia="Times New Roman" w:cs="Times New Roman"/>
        </w:rPr>
        <w:t xml:space="preserve">Jürgen </w:t>
      </w:r>
      <w:r>
        <w:rPr>
          <w:rFonts w:eastAsia="Times New Roman" w:cs="Times New Roman"/>
          <w:b/>
          <w:bCs/>
        </w:rPr>
        <w:t>Voss</w:t>
      </w:r>
      <w:r>
        <w:rPr>
          <w:rFonts w:eastAsia="Times New Roman" w:cs="Times New Roman"/>
        </w:rPr>
        <w:t xml:space="preserve">: Aus der Werkstatt zweier Mediävisten des 18. Jahrhunderts: Die Quellenerschließung bei Schöpflin und Grandidier. In: Fälschungen im Mittelalter IV, Hannover1988 (MGH Schriften 33,IV) , S. 319-330 </w:t>
      </w:r>
    </w:p>
    <w:p w14:paraId="04D887BA" w14:textId="77777777" w:rsidR="00C10D03" w:rsidRDefault="00C10D03" w:rsidP="00C10D03">
      <w:pPr>
        <w:numPr>
          <w:ilvl w:val="0"/>
          <w:numId w:val="1"/>
        </w:numPr>
        <w:spacing w:before="100" w:beforeAutospacing="1" w:after="100" w:afterAutospacing="1"/>
        <w:rPr>
          <w:rFonts w:eastAsia="Times New Roman" w:cs="Times New Roman"/>
        </w:rPr>
      </w:pPr>
      <w:r>
        <w:rPr>
          <w:rFonts w:eastAsia="Times New Roman" w:cs="Times New Roman"/>
        </w:rPr>
        <w:t xml:space="preserve">Karl-Ernst </w:t>
      </w:r>
      <w:r>
        <w:rPr>
          <w:rFonts w:eastAsia="Times New Roman" w:cs="Times New Roman"/>
          <w:b/>
          <w:bCs/>
        </w:rPr>
        <w:t>Lupprian</w:t>
      </w:r>
      <w:r>
        <w:rPr>
          <w:rFonts w:eastAsia="Times New Roman" w:cs="Times New Roman"/>
        </w:rPr>
        <w:t xml:space="preserve">, Fälschungen und Fiktionen. Katalog zur Ausstellung des Bayerischen Hauptstaatsarchivs anläßlich des Internationalen Kongresses der MGH über "Fälschungen im Mittelalter". München 15. September - 9. November 1986 (Ausstellungskataloge der Staatlichen Archive Bayerns, Beiheft zur Nr.11) München 1986 </w:t>
      </w:r>
    </w:p>
    <w:p w14:paraId="01DBA4CB" w14:textId="77777777" w:rsidR="00C10D03" w:rsidRDefault="00C10D03" w:rsidP="00C10D03">
      <w:pPr>
        <w:numPr>
          <w:ilvl w:val="0"/>
          <w:numId w:val="1"/>
        </w:numPr>
        <w:spacing w:before="100" w:beforeAutospacing="1" w:after="100" w:afterAutospacing="1"/>
        <w:rPr>
          <w:rFonts w:eastAsia="Times New Roman" w:cs="Times New Roman"/>
        </w:rPr>
      </w:pPr>
      <w:r>
        <w:rPr>
          <w:rFonts w:eastAsia="Times New Roman" w:cs="Times New Roman"/>
          <w:b/>
          <w:bCs/>
          <w:i/>
          <w:iCs/>
        </w:rPr>
        <w:t>Literarische Fälschungen der Neuzeit</w:t>
      </w:r>
      <w:r>
        <w:rPr>
          <w:rFonts w:eastAsia="Times New Roman" w:cs="Times New Roman"/>
        </w:rPr>
        <w:t xml:space="preserve">. Ausstellung 16. September - 14. November 1986 (Ausstellungskataloge Bayerische Staatsbibliothek. Monumenta Germaniae Historica 37) München 1986 </w:t>
      </w:r>
    </w:p>
    <w:p w14:paraId="624DB864" w14:textId="77777777" w:rsidR="00C10D03" w:rsidRDefault="00C10D03" w:rsidP="00C10D03">
      <w:pPr>
        <w:rPr>
          <w:rFonts w:eastAsia="Times New Roman" w:cs="Times New Roman"/>
        </w:rPr>
      </w:pPr>
      <w:r>
        <w:rPr>
          <w:rFonts w:eastAsia="Times New Roman" w:cs="Times New Roman"/>
        </w:rPr>
        <w:pict w14:anchorId="094119C8">
          <v:rect id="_x0000_i1048" style="width:0;height:1.5pt" o:hralign="center" o:hrstd="t" o:hr="t" fillcolor="#aaa" stroked="f"/>
        </w:pict>
      </w:r>
    </w:p>
    <w:p w14:paraId="5AA7BA75" w14:textId="53FC56E1" w:rsidR="00C10D03" w:rsidRDefault="00C10D03" w:rsidP="00C10D03">
      <w:pPr>
        <w:rPr>
          <w:rFonts w:eastAsia="Times New Roman" w:cs="Times New Roman"/>
        </w:rPr>
      </w:pPr>
      <w:r>
        <w:rPr>
          <w:rFonts w:eastAsia="Times New Roman" w:cs="Times New Roman"/>
        </w:rPr>
        <w:br w:type="textWrapping" w:clear="all"/>
      </w:r>
    </w:p>
    <w:p w14:paraId="79E4F618" w14:textId="5A276A9B" w:rsidR="001B41F6" w:rsidRDefault="001B41F6">
      <w:pPr>
        <w:rPr>
          <w:rFonts w:eastAsia="Times New Roman" w:cs="Times New Roman"/>
        </w:rPr>
      </w:pPr>
      <w:r>
        <w:rPr>
          <w:rFonts w:eastAsia="Times New Roman" w:cs="Times New Roman"/>
        </w:rPr>
        <w:t xml:space="preserve">©  Horst Enzensberger 2003 </w:t>
      </w:r>
      <w:r>
        <w:rPr>
          <w:rFonts w:eastAsia="Times New Roman" w:cs="Times New Roman"/>
        </w:rPr>
        <w:br/>
        <w:t>Letzte Änderung am 27. Mai 2007</w:t>
      </w:r>
      <w:r w:rsidR="00FD0868">
        <w:rPr>
          <w:rFonts w:eastAsia="Times New Roman" w:cs="Times New Roman"/>
        </w:rPr>
        <w:t>.  Überarbeitung für die Konversion in docx am 2. April 2015.</w:t>
      </w:r>
    </w:p>
    <w:sectPr w:rsidR="001B41F6">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FF941" w14:textId="77777777" w:rsidR="002F3246" w:rsidRDefault="002F3246" w:rsidP="001B41F6">
      <w:r>
        <w:separator/>
      </w:r>
    </w:p>
  </w:endnote>
  <w:endnote w:type="continuationSeparator" w:id="0">
    <w:p w14:paraId="3F64BBC8" w14:textId="77777777" w:rsidR="002F3246" w:rsidRDefault="002F3246" w:rsidP="001B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526BD" w14:textId="77777777" w:rsidR="002F3246" w:rsidRDefault="002F3246" w:rsidP="002F324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15663F3" w14:textId="77777777" w:rsidR="002F3246" w:rsidRDefault="002F3246">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B9C09" w14:textId="77777777" w:rsidR="002F3246" w:rsidRDefault="002F3246" w:rsidP="002F324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32563">
      <w:rPr>
        <w:rStyle w:val="Seitenzahl"/>
        <w:noProof/>
      </w:rPr>
      <w:t>1</w:t>
    </w:r>
    <w:r>
      <w:rPr>
        <w:rStyle w:val="Seitenzahl"/>
      </w:rPr>
      <w:fldChar w:fldCharType="end"/>
    </w:r>
  </w:p>
  <w:p w14:paraId="39669B2B" w14:textId="77777777" w:rsidR="002F3246" w:rsidRDefault="002F3246">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F9BEF" w14:textId="77777777" w:rsidR="002F3246" w:rsidRDefault="002F3246" w:rsidP="001B41F6">
      <w:r>
        <w:separator/>
      </w:r>
    </w:p>
  </w:footnote>
  <w:footnote w:type="continuationSeparator" w:id="0">
    <w:p w14:paraId="426F4470" w14:textId="77777777" w:rsidR="002F3246" w:rsidRDefault="002F3246" w:rsidP="001B41F6">
      <w:r>
        <w:continuationSeparator/>
      </w:r>
    </w:p>
  </w:footnote>
  <w:footnote w:id="1">
    <w:p w14:paraId="08F9BD18" w14:textId="604C692B" w:rsidR="002F3246" w:rsidRPr="00FD0868" w:rsidRDefault="002F3246">
      <w:pPr>
        <w:pStyle w:val="Funotentext"/>
        <w:rPr>
          <w:sz w:val="20"/>
          <w:szCs w:val="20"/>
        </w:rPr>
      </w:pPr>
      <w:r>
        <w:rPr>
          <w:rStyle w:val="Funotenzeichen"/>
        </w:rPr>
        <w:footnoteRef/>
      </w:r>
      <w:r>
        <w:t xml:space="preserve"> </w:t>
      </w:r>
      <w:r w:rsidRPr="00FD0868">
        <w:rPr>
          <w:sz w:val="20"/>
          <w:szCs w:val="20"/>
        </w:rPr>
        <w:t>It.Pont. IX, 238 f. Nr.22</w:t>
      </w:r>
    </w:p>
  </w:footnote>
  <w:footnote w:id="2">
    <w:p w14:paraId="6E29078B" w14:textId="1AD0BFBF" w:rsidR="002F3246" w:rsidRDefault="002F3246">
      <w:pPr>
        <w:pStyle w:val="Funotentext"/>
      </w:pPr>
      <w:r>
        <w:rPr>
          <w:rStyle w:val="Funotenzeichen"/>
        </w:rPr>
        <w:footnoteRef/>
      </w:r>
      <w:r>
        <w:t xml:space="preserve"> </w:t>
      </w:r>
      <w:r w:rsidRPr="008F57F2">
        <w:rPr>
          <w:rFonts w:eastAsia="Times New Roman" w:cs="Times New Roman"/>
          <w:sz w:val="20"/>
          <w:szCs w:val="20"/>
        </w:rPr>
        <w:t>Reg.Vat. 117, fol.230r.</w:t>
      </w:r>
    </w:p>
  </w:footnote>
  <w:footnote w:id="3">
    <w:p w14:paraId="0A3450DF" w14:textId="38B87D8C" w:rsidR="002F3246" w:rsidRDefault="002F3246">
      <w:pPr>
        <w:pStyle w:val="Funotentext"/>
      </w:pPr>
      <w:r>
        <w:rPr>
          <w:rStyle w:val="Funotenzeichen"/>
        </w:rPr>
        <w:footnoteRef/>
      </w:r>
      <w:r>
        <w:t xml:space="preserve"> </w:t>
      </w:r>
      <w:r w:rsidRPr="008F57F2">
        <w:rPr>
          <w:rFonts w:eastAsia="Times New Roman" w:cs="Times New Roman"/>
          <w:sz w:val="20"/>
          <w:szCs w:val="20"/>
        </w:rPr>
        <w:t>Reg. Jean XXII Nr. 2136, 5318, 5319, 5493, 10134, 10297, 10418, 10923, 11149, 11541, 11738, 12057-12060ter, 13148, 13493, 13548, 13819, 14039, 14292, 15064, 17093, 17882, 18084, 19335, 20316, 22279, 22443, 23129, 25991, 26119, 26395, 27167, 28627, 29655, 29656, 29678, 29937, 40623, 50710, 51567, 51839, 58033, 58206, 58209, 58261, 60971.</w:t>
      </w:r>
    </w:p>
  </w:footnote>
  <w:footnote w:id="4">
    <w:p w14:paraId="045E05D0" w14:textId="7644C975" w:rsidR="002F3246" w:rsidRDefault="002F3246">
      <w:pPr>
        <w:pStyle w:val="Funotentext"/>
      </w:pPr>
      <w:r>
        <w:rPr>
          <w:rStyle w:val="Funotenzeichen"/>
        </w:rPr>
        <w:footnoteRef/>
      </w:r>
      <w:r>
        <w:t xml:space="preserve"> </w:t>
      </w:r>
      <w:r w:rsidRPr="008F57F2">
        <w:rPr>
          <w:rFonts w:eastAsia="Times New Roman" w:cs="Times New Roman"/>
          <w:sz w:val="20"/>
          <w:szCs w:val="20"/>
        </w:rPr>
        <w:t>Reg. Honorius IV, 348 Nr.493.</w:t>
      </w:r>
    </w:p>
  </w:footnote>
  <w:footnote w:id="5">
    <w:p w14:paraId="7F74D807" w14:textId="5B9D8B96" w:rsidR="002F3246" w:rsidRDefault="002F3246">
      <w:pPr>
        <w:pStyle w:val="Funotentext"/>
      </w:pPr>
      <w:r>
        <w:rPr>
          <w:rStyle w:val="Funotenzeichen"/>
        </w:rPr>
        <w:footnoteRef/>
      </w:r>
      <w:r>
        <w:t xml:space="preserve"> </w:t>
      </w:r>
      <w:r w:rsidRPr="005677B1">
        <w:rPr>
          <w:rFonts w:eastAsia="Times New Roman" w:cs="Times New Roman"/>
          <w:sz w:val="20"/>
          <w:szCs w:val="20"/>
        </w:rPr>
        <w:t>H.Ch.</w:t>
      </w:r>
      <w:r w:rsidRPr="005677B1">
        <w:rPr>
          <w:rFonts w:eastAsia="Times New Roman" w:cs="Times New Roman"/>
          <w:b/>
          <w:bCs/>
          <w:sz w:val="20"/>
          <w:szCs w:val="20"/>
        </w:rPr>
        <w:t>Lea</w:t>
      </w:r>
      <w:r w:rsidRPr="005677B1">
        <w:rPr>
          <w:rFonts w:eastAsia="Times New Roman" w:cs="Times New Roman"/>
          <w:sz w:val="20"/>
          <w:szCs w:val="20"/>
        </w:rPr>
        <w:t>, A Formulary of the Papal Penitentiary in the Thirteenth Century, Philadelphia 1892</w:t>
      </w:r>
    </w:p>
  </w:footnote>
  <w:footnote w:id="6">
    <w:p w14:paraId="2BAD4F45" w14:textId="097E1056" w:rsidR="002F3246" w:rsidRDefault="002F3246">
      <w:pPr>
        <w:pStyle w:val="Funotentext"/>
      </w:pPr>
      <w:r>
        <w:rPr>
          <w:rStyle w:val="Funotenzeichen"/>
        </w:rPr>
        <w:footnoteRef/>
      </w:r>
      <w:r>
        <w:t xml:space="preserve"> </w:t>
      </w:r>
      <w:r w:rsidRPr="008E2D54">
        <w:rPr>
          <w:rFonts w:eastAsia="Times New Roman" w:cs="Times New Roman"/>
          <w:sz w:val="20"/>
          <w:szCs w:val="20"/>
        </w:rPr>
        <w:t>Nr. 48 bei Lea.</w:t>
      </w:r>
    </w:p>
  </w:footnote>
  <w:footnote w:id="7">
    <w:p w14:paraId="4642266A" w14:textId="15D16EC2" w:rsidR="002F3246" w:rsidRDefault="002F3246">
      <w:pPr>
        <w:pStyle w:val="Funotentext"/>
      </w:pPr>
      <w:r>
        <w:rPr>
          <w:rStyle w:val="Funotenzeichen"/>
        </w:rPr>
        <w:footnoteRef/>
      </w:r>
      <w:r>
        <w:t xml:space="preserve"> </w:t>
      </w:r>
      <w:r w:rsidRPr="00FC0855">
        <w:rPr>
          <w:rFonts w:eastAsia="Times New Roman" w:cs="Times New Roman"/>
          <w:b/>
          <w:bCs/>
          <w:sz w:val="20"/>
          <w:szCs w:val="20"/>
        </w:rPr>
        <w:t>Tangl</w:t>
      </w:r>
      <w:r w:rsidRPr="00FC0855">
        <w:rPr>
          <w:rFonts w:eastAsia="Times New Roman" w:cs="Times New Roman"/>
          <w:sz w:val="20"/>
          <w:szCs w:val="20"/>
        </w:rPr>
        <w:t>, Kanzleiordnungen 80 §72.</w:t>
      </w:r>
    </w:p>
  </w:footnote>
  <w:footnote w:id="8">
    <w:p w14:paraId="49E21D93" w14:textId="35F5763C" w:rsidR="002F3246" w:rsidRDefault="002F3246">
      <w:pPr>
        <w:pStyle w:val="Funotentext"/>
      </w:pPr>
      <w:r>
        <w:rPr>
          <w:rStyle w:val="Funotenzeichen"/>
        </w:rPr>
        <w:footnoteRef/>
      </w:r>
      <w:r>
        <w:t xml:space="preserve"> </w:t>
      </w:r>
      <w:r w:rsidRPr="00FC0855">
        <w:rPr>
          <w:rFonts w:eastAsia="Times New Roman" w:cs="Times New Roman"/>
          <w:sz w:val="20"/>
          <w:szCs w:val="20"/>
        </w:rPr>
        <w:t xml:space="preserve">vgl. Albrecht </w:t>
      </w:r>
      <w:r w:rsidRPr="00FC0855">
        <w:rPr>
          <w:rFonts w:eastAsia="Times New Roman" w:cs="Times New Roman"/>
          <w:b/>
          <w:bCs/>
          <w:sz w:val="20"/>
          <w:szCs w:val="20"/>
        </w:rPr>
        <w:t>Noth</w:t>
      </w:r>
      <w:r w:rsidRPr="00FC0855">
        <w:rPr>
          <w:rFonts w:eastAsia="Times New Roman" w:cs="Times New Roman"/>
          <w:sz w:val="20"/>
          <w:szCs w:val="20"/>
        </w:rPr>
        <w:t>, Minderheiten als Vertragspartner im Disput mit dem islamischen Gesetz, in : Studien zur Geschichte und Kultur des Vorderen Orients. Festschrift für Bertold Spuler zum siebzigsten Geburtstag, Leiden 1981, 289 - 309.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579F5"/>
    <w:multiLevelType w:val="multilevel"/>
    <w:tmpl w:val="188A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doNotBreakWrappedTables/>
    <w:doNotSnapToGridInCell/>
    <w:doNotWrapTextWithPunct/>
    <w:doNotUseEastAsianBreakRules/>
    <w:growAutofit/>
    <w:compatSetting w:name="compatibilityMode" w:uri="http://schemas.microsoft.com/office/word" w:val="14"/>
  </w:compat>
  <w:rsids>
    <w:rsidRoot w:val="00B778CC"/>
    <w:rsid w:val="00032C8A"/>
    <w:rsid w:val="00122063"/>
    <w:rsid w:val="001B41F6"/>
    <w:rsid w:val="00271B34"/>
    <w:rsid w:val="002F3246"/>
    <w:rsid w:val="002F4369"/>
    <w:rsid w:val="00332563"/>
    <w:rsid w:val="00405D8C"/>
    <w:rsid w:val="00486421"/>
    <w:rsid w:val="004D7CD8"/>
    <w:rsid w:val="005677B1"/>
    <w:rsid w:val="005D31DD"/>
    <w:rsid w:val="00685D46"/>
    <w:rsid w:val="006C2CF4"/>
    <w:rsid w:val="008E2D54"/>
    <w:rsid w:val="008E6356"/>
    <w:rsid w:val="008F57F2"/>
    <w:rsid w:val="009F6127"/>
    <w:rsid w:val="00A947E9"/>
    <w:rsid w:val="00B778CC"/>
    <w:rsid w:val="00C10D03"/>
    <w:rsid w:val="00C6414D"/>
    <w:rsid w:val="00F31BC0"/>
    <w:rsid w:val="00FC0855"/>
    <w:rsid w:val="00FD0868"/>
    <w:rsid w:val="00FF28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8504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w:eastAsiaTheme="minorEastAsia" w:hAnsi="Times" w:cstheme="minorBidi"/>
    </w:rPr>
  </w:style>
  <w:style w:type="paragraph" w:styleId="berschrift4">
    <w:name w:val="heading 4"/>
    <w:basedOn w:val="Standard"/>
    <w:link w:val="berschrift4Zeichen"/>
    <w:uiPriority w:val="9"/>
    <w:qFormat/>
    <w:pPr>
      <w:spacing w:before="100" w:beforeAutospacing="1" w:after="100" w:afterAutospacing="1"/>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Pr>
      <w:color w:val="003366"/>
      <w:u w:val="single"/>
    </w:rPr>
  </w:style>
  <w:style w:type="character" w:styleId="GesichteterLink">
    <w:name w:val="FollowedHyperlink"/>
    <w:basedOn w:val="Absatzstandardschriftart"/>
    <w:uiPriority w:val="99"/>
    <w:semiHidden/>
    <w:unhideWhenUsed/>
    <w:rPr>
      <w:color w:val="808080"/>
      <w:u w:val="single"/>
    </w:rPr>
  </w:style>
  <w:style w:type="character" w:customStyle="1" w:styleId="berschrift4Zeichen">
    <w:name w:val="Überschrift 4 Zeichen"/>
    <w:basedOn w:val="Absatzstandardschriftart"/>
    <w:link w:val="berschrift4"/>
    <w:uiPriority w:val="9"/>
    <w:semiHidden/>
    <w:rPr>
      <w:rFonts w:asciiTheme="majorHAnsi" w:eastAsiaTheme="majorEastAsia" w:hAnsiTheme="majorHAnsi" w:cstheme="majorBidi"/>
      <w:b/>
      <w:bCs/>
      <w:i/>
      <w:iCs/>
      <w:color w:val="4F81BD" w:themeColor="accent1"/>
    </w:rPr>
  </w:style>
  <w:style w:type="paragraph" w:styleId="StandardWeb">
    <w:name w:val="Normal (Web)"/>
    <w:basedOn w:val="Standard"/>
    <w:uiPriority w:val="99"/>
    <w:unhideWhenUsed/>
    <w:pPr>
      <w:spacing w:before="100" w:beforeAutospacing="1" w:after="100" w:afterAutospacing="1"/>
    </w:pPr>
    <w:rPr>
      <w:rFonts w:cs="Times New Roman"/>
    </w:rPr>
  </w:style>
  <w:style w:type="paragraph" w:styleId="Sprechblasentext">
    <w:name w:val="Balloon Text"/>
    <w:basedOn w:val="Standard"/>
    <w:link w:val="SprechblasentextZeichen"/>
    <w:uiPriority w:val="99"/>
    <w:semiHidden/>
    <w:unhideWhenUsed/>
    <w:rsid w:val="00032C8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32C8A"/>
    <w:rPr>
      <w:rFonts w:ascii="Lucida Grande" w:eastAsiaTheme="minorEastAsia" w:hAnsi="Lucida Grande" w:cs="Lucida Grande"/>
      <w:sz w:val="18"/>
      <w:szCs w:val="18"/>
    </w:rPr>
  </w:style>
  <w:style w:type="paragraph" w:styleId="Funotentext">
    <w:name w:val="footnote text"/>
    <w:basedOn w:val="Standard"/>
    <w:link w:val="FunotentextZeichen"/>
    <w:uiPriority w:val="99"/>
    <w:unhideWhenUsed/>
    <w:rsid w:val="001B41F6"/>
    <w:rPr>
      <w:sz w:val="24"/>
      <w:szCs w:val="24"/>
    </w:rPr>
  </w:style>
  <w:style w:type="character" w:customStyle="1" w:styleId="FunotentextZeichen">
    <w:name w:val="Fußnotentext Zeichen"/>
    <w:basedOn w:val="Absatzstandardschriftart"/>
    <w:link w:val="Funotentext"/>
    <w:uiPriority w:val="99"/>
    <w:rsid w:val="001B41F6"/>
    <w:rPr>
      <w:rFonts w:ascii="Times" w:eastAsiaTheme="minorEastAsia" w:hAnsi="Times" w:cstheme="minorBidi"/>
      <w:sz w:val="24"/>
      <w:szCs w:val="24"/>
    </w:rPr>
  </w:style>
  <w:style w:type="character" w:styleId="Funotenzeichen">
    <w:name w:val="footnote reference"/>
    <w:basedOn w:val="Absatzstandardschriftart"/>
    <w:uiPriority w:val="99"/>
    <w:unhideWhenUsed/>
    <w:rsid w:val="001B41F6"/>
    <w:rPr>
      <w:vertAlign w:val="superscript"/>
    </w:rPr>
  </w:style>
  <w:style w:type="paragraph" w:styleId="Endnotentext">
    <w:name w:val="endnote text"/>
    <w:basedOn w:val="Standard"/>
    <w:link w:val="EndnotentextZeichen"/>
    <w:uiPriority w:val="99"/>
    <w:unhideWhenUsed/>
    <w:rsid w:val="00C10D03"/>
    <w:rPr>
      <w:sz w:val="24"/>
      <w:szCs w:val="24"/>
    </w:rPr>
  </w:style>
  <w:style w:type="character" w:customStyle="1" w:styleId="EndnotentextZeichen">
    <w:name w:val="Endnotentext Zeichen"/>
    <w:basedOn w:val="Absatzstandardschriftart"/>
    <w:link w:val="Endnotentext"/>
    <w:uiPriority w:val="99"/>
    <w:rsid w:val="00C10D03"/>
    <w:rPr>
      <w:rFonts w:ascii="Times" w:eastAsiaTheme="minorEastAsia" w:hAnsi="Times" w:cstheme="minorBidi"/>
      <w:sz w:val="24"/>
      <w:szCs w:val="24"/>
    </w:rPr>
  </w:style>
  <w:style w:type="character" w:styleId="Endnotenzeichen">
    <w:name w:val="endnote reference"/>
    <w:basedOn w:val="Absatzstandardschriftart"/>
    <w:uiPriority w:val="99"/>
    <w:unhideWhenUsed/>
    <w:rsid w:val="00C10D03"/>
    <w:rPr>
      <w:vertAlign w:val="superscript"/>
    </w:rPr>
  </w:style>
  <w:style w:type="paragraph" w:styleId="Fuzeile">
    <w:name w:val="footer"/>
    <w:basedOn w:val="Standard"/>
    <w:link w:val="FuzeileZeichen"/>
    <w:uiPriority w:val="99"/>
    <w:unhideWhenUsed/>
    <w:rsid w:val="00FC0855"/>
    <w:pPr>
      <w:tabs>
        <w:tab w:val="center" w:pos="4536"/>
        <w:tab w:val="right" w:pos="9072"/>
      </w:tabs>
    </w:pPr>
  </w:style>
  <w:style w:type="character" w:customStyle="1" w:styleId="FuzeileZeichen">
    <w:name w:val="Fußzeile Zeichen"/>
    <w:basedOn w:val="Absatzstandardschriftart"/>
    <w:link w:val="Fuzeile"/>
    <w:uiPriority w:val="99"/>
    <w:rsid w:val="00FC0855"/>
    <w:rPr>
      <w:rFonts w:ascii="Times" w:eastAsiaTheme="minorEastAsia" w:hAnsi="Times" w:cstheme="minorBidi"/>
    </w:rPr>
  </w:style>
  <w:style w:type="character" w:styleId="Seitenzahl">
    <w:name w:val="page number"/>
    <w:basedOn w:val="Absatzstandardschriftart"/>
    <w:uiPriority w:val="99"/>
    <w:semiHidden/>
    <w:unhideWhenUsed/>
    <w:rsid w:val="00FC08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w:eastAsiaTheme="minorEastAsia" w:hAnsi="Times" w:cstheme="minorBidi"/>
    </w:rPr>
  </w:style>
  <w:style w:type="paragraph" w:styleId="berschrift4">
    <w:name w:val="heading 4"/>
    <w:basedOn w:val="Standard"/>
    <w:link w:val="berschrift4Zeichen"/>
    <w:uiPriority w:val="9"/>
    <w:qFormat/>
    <w:pPr>
      <w:spacing w:before="100" w:beforeAutospacing="1" w:after="100" w:afterAutospacing="1"/>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Pr>
      <w:color w:val="003366"/>
      <w:u w:val="single"/>
    </w:rPr>
  </w:style>
  <w:style w:type="character" w:styleId="GesichteterLink">
    <w:name w:val="FollowedHyperlink"/>
    <w:basedOn w:val="Absatzstandardschriftart"/>
    <w:uiPriority w:val="99"/>
    <w:semiHidden/>
    <w:unhideWhenUsed/>
    <w:rPr>
      <w:color w:val="808080"/>
      <w:u w:val="single"/>
    </w:rPr>
  </w:style>
  <w:style w:type="character" w:customStyle="1" w:styleId="berschrift4Zeichen">
    <w:name w:val="Überschrift 4 Zeichen"/>
    <w:basedOn w:val="Absatzstandardschriftart"/>
    <w:link w:val="berschrift4"/>
    <w:uiPriority w:val="9"/>
    <w:semiHidden/>
    <w:rPr>
      <w:rFonts w:asciiTheme="majorHAnsi" w:eastAsiaTheme="majorEastAsia" w:hAnsiTheme="majorHAnsi" w:cstheme="majorBidi"/>
      <w:b/>
      <w:bCs/>
      <w:i/>
      <w:iCs/>
      <w:color w:val="4F81BD" w:themeColor="accent1"/>
    </w:rPr>
  </w:style>
  <w:style w:type="paragraph" w:styleId="StandardWeb">
    <w:name w:val="Normal (Web)"/>
    <w:basedOn w:val="Standard"/>
    <w:uiPriority w:val="99"/>
    <w:unhideWhenUsed/>
    <w:pPr>
      <w:spacing w:before="100" w:beforeAutospacing="1" w:after="100" w:afterAutospacing="1"/>
    </w:pPr>
    <w:rPr>
      <w:rFonts w:cs="Times New Roman"/>
    </w:rPr>
  </w:style>
  <w:style w:type="paragraph" w:styleId="Sprechblasentext">
    <w:name w:val="Balloon Text"/>
    <w:basedOn w:val="Standard"/>
    <w:link w:val="SprechblasentextZeichen"/>
    <w:uiPriority w:val="99"/>
    <w:semiHidden/>
    <w:unhideWhenUsed/>
    <w:rsid w:val="00032C8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32C8A"/>
    <w:rPr>
      <w:rFonts w:ascii="Lucida Grande" w:eastAsiaTheme="minorEastAsia" w:hAnsi="Lucida Grande" w:cs="Lucida Grande"/>
      <w:sz w:val="18"/>
      <w:szCs w:val="18"/>
    </w:rPr>
  </w:style>
  <w:style w:type="paragraph" w:styleId="Funotentext">
    <w:name w:val="footnote text"/>
    <w:basedOn w:val="Standard"/>
    <w:link w:val="FunotentextZeichen"/>
    <w:uiPriority w:val="99"/>
    <w:unhideWhenUsed/>
    <w:rsid w:val="001B41F6"/>
    <w:rPr>
      <w:sz w:val="24"/>
      <w:szCs w:val="24"/>
    </w:rPr>
  </w:style>
  <w:style w:type="character" w:customStyle="1" w:styleId="FunotentextZeichen">
    <w:name w:val="Fußnotentext Zeichen"/>
    <w:basedOn w:val="Absatzstandardschriftart"/>
    <w:link w:val="Funotentext"/>
    <w:uiPriority w:val="99"/>
    <w:rsid w:val="001B41F6"/>
    <w:rPr>
      <w:rFonts w:ascii="Times" w:eastAsiaTheme="minorEastAsia" w:hAnsi="Times" w:cstheme="minorBidi"/>
      <w:sz w:val="24"/>
      <w:szCs w:val="24"/>
    </w:rPr>
  </w:style>
  <w:style w:type="character" w:styleId="Funotenzeichen">
    <w:name w:val="footnote reference"/>
    <w:basedOn w:val="Absatzstandardschriftart"/>
    <w:uiPriority w:val="99"/>
    <w:unhideWhenUsed/>
    <w:rsid w:val="001B41F6"/>
    <w:rPr>
      <w:vertAlign w:val="superscript"/>
    </w:rPr>
  </w:style>
  <w:style w:type="paragraph" w:styleId="Endnotentext">
    <w:name w:val="endnote text"/>
    <w:basedOn w:val="Standard"/>
    <w:link w:val="EndnotentextZeichen"/>
    <w:uiPriority w:val="99"/>
    <w:unhideWhenUsed/>
    <w:rsid w:val="00C10D03"/>
    <w:rPr>
      <w:sz w:val="24"/>
      <w:szCs w:val="24"/>
    </w:rPr>
  </w:style>
  <w:style w:type="character" w:customStyle="1" w:styleId="EndnotentextZeichen">
    <w:name w:val="Endnotentext Zeichen"/>
    <w:basedOn w:val="Absatzstandardschriftart"/>
    <w:link w:val="Endnotentext"/>
    <w:uiPriority w:val="99"/>
    <w:rsid w:val="00C10D03"/>
    <w:rPr>
      <w:rFonts w:ascii="Times" w:eastAsiaTheme="minorEastAsia" w:hAnsi="Times" w:cstheme="minorBidi"/>
      <w:sz w:val="24"/>
      <w:szCs w:val="24"/>
    </w:rPr>
  </w:style>
  <w:style w:type="character" w:styleId="Endnotenzeichen">
    <w:name w:val="endnote reference"/>
    <w:basedOn w:val="Absatzstandardschriftart"/>
    <w:uiPriority w:val="99"/>
    <w:unhideWhenUsed/>
    <w:rsid w:val="00C10D03"/>
    <w:rPr>
      <w:vertAlign w:val="superscript"/>
    </w:rPr>
  </w:style>
  <w:style w:type="paragraph" w:styleId="Fuzeile">
    <w:name w:val="footer"/>
    <w:basedOn w:val="Standard"/>
    <w:link w:val="FuzeileZeichen"/>
    <w:uiPriority w:val="99"/>
    <w:unhideWhenUsed/>
    <w:rsid w:val="00FC0855"/>
    <w:pPr>
      <w:tabs>
        <w:tab w:val="center" w:pos="4536"/>
        <w:tab w:val="right" w:pos="9072"/>
      </w:tabs>
    </w:pPr>
  </w:style>
  <w:style w:type="character" w:customStyle="1" w:styleId="FuzeileZeichen">
    <w:name w:val="Fußzeile Zeichen"/>
    <w:basedOn w:val="Absatzstandardschriftart"/>
    <w:link w:val="Fuzeile"/>
    <w:uiPriority w:val="99"/>
    <w:rsid w:val="00FC0855"/>
    <w:rPr>
      <w:rFonts w:ascii="Times" w:eastAsiaTheme="minorEastAsia" w:hAnsi="Times" w:cstheme="minorBidi"/>
    </w:rPr>
  </w:style>
  <w:style w:type="character" w:styleId="Seitenzahl">
    <w:name w:val="page number"/>
    <w:basedOn w:val="Absatzstandardschriftart"/>
    <w:uiPriority w:val="99"/>
    <w:semiHidden/>
    <w:unhideWhenUsed/>
    <w:rsid w:val="00FC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ist-hh.uni-bamberg.de/hilfswiss/index.html" TargetMode="External"/><Relationship Id="rId10"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D3648-823E-4640-920A-F1D5C35F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1931</Words>
  <Characters>12168</Characters>
  <Application>Microsoft Macintosh Word</Application>
  <DocSecurity>0</DocSecurity>
  <Lines>101</Lines>
  <Paragraphs>28</Paragraphs>
  <ScaleCrop>false</ScaleCrop>
  <Company>Uni Bamberg</Company>
  <LinksUpToDate>false</LinksUpToDate>
  <CharactersWithSpaces>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Fälschungen</dc:title>
  <dc:subject/>
  <dc:creator>Prof. Dr. Horst Enzensberger</dc:creator>
  <cp:keywords/>
  <dc:description/>
  <cp:lastModifiedBy>Prof. Dr. Horst Enzensberger</cp:lastModifiedBy>
  <cp:revision>22</cp:revision>
  <cp:lastPrinted>2015-04-01T23:52:00Z</cp:lastPrinted>
  <dcterms:created xsi:type="dcterms:W3CDTF">2015-04-01T23:17:00Z</dcterms:created>
  <dcterms:modified xsi:type="dcterms:W3CDTF">2015-04-02T00:20:00Z</dcterms:modified>
</cp:coreProperties>
</file>