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14:paraId="022DF871" w14:textId="30E9BD60" w:rsidR="00EA612B" w:rsidRDefault="001D0584">
      <w:pPr>
        <w:rPr>
          <w:rFonts w:eastAsia="Times New Roman" w:cs="Times New Roman"/>
        </w:rPr>
      </w:pPr>
      <w:r>
        <w:rPr>
          <w:rFonts w:eastAsia="Times New Roman" w:cs="Times New Roman"/>
          <w:noProof/>
        </w:rPr>
        <w:drawing>
          <wp:anchor distT="0" distB="0" distL="114300" distR="114300" simplePos="0" relativeHeight="251659264" behindDoc="0" locked="0" layoutInCell="1" allowOverlap="1" wp14:anchorId="1212EC50" wp14:editId="38698093">
            <wp:simplePos x="0" y="0"/>
            <wp:positionH relativeFrom="column">
              <wp:posOffset>457200</wp:posOffset>
            </wp:positionH>
            <wp:positionV relativeFrom="paragraph">
              <wp:posOffset>0</wp:posOffset>
            </wp:positionV>
            <wp:extent cx="1914525" cy="1600200"/>
            <wp:effectExtent l="0" t="0" r="0" b="0"/>
            <wp:wrapSquare wrapText="bothSides"/>
            <wp:docPr id="1" name="Bild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kl.gif"/>
                    <pic:cNvPicPr/>
                  </pic:nvPicPr>
                  <pic:blipFill>
                    <a:blip r:embed="rId10">
                      <a:extLst>
                        <a:ext uri="{28A0092B-C50C-407E-A947-70E740481C1C}">
                          <a14:useLocalDpi xmlns:a14="http://schemas.microsoft.com/office/drawing/2010/main" val="0"/>
                        </a:ext>
                      </a:extLst>
                    </a:blip>
                    <a:stretch>
                      <a:fillRect/>
                    </a:stretch>
                  </pic:blipFill>
                  <pic:spPr>
                    <a:xfrm>
                      <a:off x="0" y="0"/>
                      <a:ext cx="1914525" cy="1600200"/>
                    </a:xfrm>
                    <a:prstGeom prst="rect">
                      <a:avLst/>
                    </a:prstGeom>
                  </pic:spPr>
                </pic:pic>
              </a:graphicData>
            </a:graphic>
            <wp14:sizeRelH relativeFrom="margin">
              <wp14:pctWidth>0</wp14:pctWidth>
            </wp14:sizeRelH>
            <wp14:sizeRelV relativeFrom="margin">
              <wp14:pctHeight>0</wp14:pctHeight>
            </wp14:sizeRelV>
          </wp:anchor>
        </w:drawing>
      </w:r>
    </w:p>
    <w:p w14:paraId="4009979F" w14:textId="77777777" w:rsidR="001D0584" w:rsidRDefault="001D0584">
      <w:pPr>
        <w:pStyle w:val="berschrift3"/>
        <w:jc w:val="center"/>
        <w:rPr>
          <w:rFonts w:eastAsia="Times New Roman" w:cs="Times New Roman"/>
          <w:sz w:val="32"/>
          <w:szCs w:val="32"/>
        </w:rPr>
      </w:pPr>
    </w:p>
    <w:p w14:paraId="4B0A8621" w14:textId="77777777" w:rsidR="001D0584" w:rsidRDefault="001D0584">
      <w:pPr>
        <w:pStyle w:val="berschrift3"/>
        <w:jc w:val="center"/>
        <w:rPr>
          <w:rFonts w:eastAsia="Times New Roman" w:cs="Times New Roman"/>
          <w:sz w:val="32"/>
          <w:szCs w:val="32"/>
        </w:rPr>
      </w:pPr>
    </w:p>
    <w:p w14:paraId="6DC871E2" w14:textId="77777777" w:rsidR="001D0584" w:rsidRDefault="001D0584">
      <w:pPr>
        <w:pStyle w:val="berschrift3"/>
        <w:jc w:val="center"/>
        <w:rPr>
          <w:rFonts w:eastAsia="Times New Roman" w:cs="Times New Roman"/>
          <w:sz w:val="32"/>
          <w:szCs w:val="32"/>
        </w:rPr>
      </w:pPr>
    </w:p>
    <w:p w14:paraId="3DC5D965" w14:textId="77777777" w:rsidR="001D0584" w:rsidRDefault="001D0584">
      <w:pPr>
        <w:pStyle w:val="berschrift3"/>
        <w:jc w:val="center"/>
        <w:rPr>
          <w:rFonts w:eastAsia="Times New Roman" w:cs="Times New Roman"/>
          <w:sz w:val="32"/>
          <w:szCs w:val="32"/>
        </w:rPr>
      </w:pPr>
    </w:p>
    <w:p w14:paraId="38A0CADD" w14:textId="77777777" w:rsidR="00EA612B" w:rsidRPr="00F20F19" w:rsidRDefault="00EA612B">
      <w:pPr>
        <w:pStyle w:val="berschrift3"/>
        <w:jc w:val="center"/>
        <w:rPr>
          <w:rFonts w:eastAsia="Times New Roman" w:cs="Times New Roman"/>
          <w:sz w:val="32"/>
          <w:szCs w:val="32"/>
        </w:rPr>
      </w:pPr>
      <w:r w:rsidRPr="00F20F19">
        <w:rPr>
          <w:rFonts w:eastAsia="Times New Roman" w:cs="Times New Roman"/>
          <w:sz w:val="32"/>
          <w:szCs w:val="32"/>
        </w:rPr>
        <w:t>Arengen</w:t>
      </w:r>
    </w:p>
    <w:p w14:paraId="0B934287" w14:textId="77777777" w:rsidR="00EA612B" w:rsidRDefault="00EA612B">
      <w:pPr>
        <w:spacing w:after="240"/>
        <w:rPr>
          <w:rFonts w:eastAsia="Times New Roman" w:cs="Times New Roman"/>
        </w:rPr>
      </w:pPr>
      <w:r>
        <w:rPr>
          <w:rFonts w:eastAsia="Times New Roman" w:cs="Times New Roman"/>
        </w:rPr>
        <w:t xml:space="preserve">Die rhetorische Einleitung der mittelalterlichen Urkunde, im Abendland als </w:t>
      </w:r>
      <w:hyperlink r:id="rId11" w:history="1">
        <w:r>
          <w:rPr>
            <w:rStyle w:val="Link"/>
            <w:rFonts w:eastAsia="Times New Roman" w:cs="Times New Roman"/>
          </w:rPr>
          <w:t>Arenga</w:t>
        </w:r>
      </w:hyperlink>
      <w:r>
        <w:rPr>
          <w:rFonts w:eastAsia="Times New Roman" w:cs="Times New Roman"/>
        </w:rPr>
        <w:t xml:space="preserve"> oder im byzantinischen Bereich als Prooimion bezeichnet, die hauptsächlich in feierlicheren Dokumenten vorkommt, verarbeitet eine Reihe von Motiven. [</w:t>
      </w:r>
      <w:hyperlink r:id="rId12" w:history="1">
        <w:r>
          <w:rPr>
            <w:rStyle w:val="Link"/>
            <w:rFonts w:eastAsia="Times New Roman" w:cs="Times New Roman"/>
          </w:rPr>
          <w:t>Formularaufbau</w:t>
        </w:r>
      </w:hyperlink>
      <w:r>
        <w:rPr>
          <w:rFonts w:eastAsia="Times New Roman" w:cs="Times New Roman"/>
        </w:rPr>
        <w:t xml:space="preserve">] In der Herrscherurkunde werden vor allem Aufgaben und Tugenden des Herrschers thematisiert. Neben den in der Regel allgemeinen Überlegungen können auch konkrete Sachverhalte angesprochen werden. Textbeispiele verschiedener Zeit und verschiedener Aussteller sollen das veranschaulichen. </w:t>
      </w:r>
    </w:p>
    <w:p w14:paraId="3102088C" w14:textId="77777777" w:rsidR="00404CC0" w:rsidRDefault="00404CC0">
      <w:pPr>
        <w:spacing w:after="240"/>
        <w:rPr>
          <w:rFonts w:eastAsia="Times New Roman" w:cs="Times New Roman"/>
        </w:rPr>
      </w:pPr>
    </w:p>
    <w:p w14:paraId="22CE313C" w14:textId="5B439580" w:rsidR="003079D8" w:rsidRDefault="003079D8" w:rsidP="003079D8">
      <w:pPr>
        <w:pStyle w:val="berschrift3"/>
        <w:jc w:val="center"/>
      </w:pPr>
      <w:r>
        <w:t>Arengen aus Königs- und Kaiserurkunden</w:t>
      </w:r>
    </w:p>
    <w:p w14:paraId="2B6BEF0A" w14:textId="77777777" w:rsidR="00EA612B" w:rsidRDefault="00EA612B">
      <w:pPr>
        <w:numPr>
          <w:ilvl w:val="0"/>
          <w:numId w:val="1"/>
        </w:numPr>
        <w:spacing w:before="100" w:beforeAutospacing="1" w:after="100" w:afterAutospacing="1"/>
        <w:rPr>
          <w:rFonts w:eastAsia="Times New Roman" w:cs="Times New Roman"/>
        </w:rPr>
      </w:pPr>
      <w:r>
        <w:rPr>
          <w:rFonts w:eastAsia="Times New Roman" w:cs="Times New Roman"/>
        </w:rPr>
        <w:t>Heinrich II. für Würzburg (D H.II. 5)</w:t>
      </w:r>
      <w:r>
        <w:rPr>
          <w:rFonts w:eastAsia="Times New Roman" w:cs="Times New Roman"/>
        </w:rPr>
        <w:br/>
      </w:r>
      <w:r>
        <w:rPr>
          <w:rFonts w:eastAsia="Times New Roman" w:cs="Times New Roman"/>
          <w:i/>
          <w:iCs/>
        </w:rPr>
        <w:t xml:space="preserve">Si rationabiles fidelium </w:t>
      </w:r>
      <w:r>
        <w:rPr>
          <w:rFonts w:eastAsia="Times New Roman" w:cs="Times New Roman"/>
          <w:b/>
          <w:bCs/>
          <w:i/>
          <w:iCs/>
        </w:rPr>
        <w:t>petitiones</w:t>
      </w:r>
      <w:r>
        <w:rPr>
          <w:rFonts w:eastAsia="Times New Roman" w:cs="Times New Roman"/>
          <w:i/>
          <w:iCs/>
        </w:rPr>
        <w:t xml:space="preserve"> quas nobis pro suis necessitatibus innotuerint </w:t>
      </w:r>
      <w:r>
        <w:rPr>
          <w:rFonts w:eastAsia="Times New Roman" w:cs="Times New Roman"/>
          <w:b/>
          <w:bCs/>
          <w:i/>
          <w:iCs/>
        </w:rPr>
        <w:t>ad effectum perducimus</w:t>
      </w:r>
      <w:r>
        <w:rPr>
          <w:rFonts w:eastAsia="Times New Roman" w:cs="Times New Roman"/>
          <w:i/>
          <w:iCs/>
        </w:rPr>
        <w:t xml:space="preserve"> et veterem regum priorum consuetudinem exercemus alios </w:t>
      </w:r>
      <w:r>
        <w:rPr>
          <w:rFonts w:eastAsia="Times New Roman" w:cs="Times New Roman"/>
          <w:b/>
          <w:bCs/>
          <w:i/>
          <w:iCs/>
        </w:rPr>
        <w:t>ad fidelitatem nobis exhibendam incitamus</w:t>
      </w:r>
      <w:r>
        <w:rPr>
          <w:rFonts w:eastAsia="Times New Roman" w:cs="Times New Roman"/>
        </w:rPr>
        <w:t xml:space="preserve"> </w:t>
      </w:r>
    </w:p>
    <w:p w14:paraId="66BE1CBC" w14:textId="77777777" w:rsidR="00EA612B" w:rsidRDefault="00EA612B">
      <w:pPr>
        <w:numPr>
          <w:ilvl w:val="0"/>
          <w:numId w:val="1"/>
        </w:numPr>
        <w:spacing w:before="100" w:beforeAutospacing="1" w:after="100" w:afterAutospacing="1"/>
        <w:rPr>
          <w:rFonts w:eastAsia="Times New Roman" w:cs="Times New Roman"/>
        </w:rPr>
      </w:pPr>
      <w:r>
        <w:rPr>
          <w:rFonts w:eastAsia="Times New Roman" w:cs="Times New Roman"/>
        </w:rPr>
        <w:t>Heinrich II. für Stift Haug (D H.II.3)</w:t>
      </w:r>
      <w:r>
        <w:rPr>
          <w:rFonts w:eastAsia="Times New Roman" w:cs="Times New Roman"/>
        </w:rPr>
        <w:br/>
      </w:r>
      <w:r>
        <w:rPr>
          <w:rFonts w:eastAsia="Times New Roman" w:cs="Times New Roman"/>
          <w:i/>
          <w:iCs/>
        </w:rPr>
        <w:t xml:space="preserve">Si ad hoc sumus intenti et desiderio pleni ut proprietates ecclesiarum dei de die in diem adaugmentemus regnum adhoc nobis commissum diutius prolongari et infuturo </w:t>
      </w:r>
      <w:r>
        <w:rPr>
          <w:rFonts w:eastAsia="Times New Roman" w:cs="Times New Roman"/>
          <w:b/>
          <w:bCs/>
          <w:i/>
          <w:iCs/>
        </w:rPr>
        <w:t>cum electis anime nostrae remunerari</w:t>
      </w:r>
      <w:r>
        <w:rPr>
          <w:rFonts w:eastAsia="Times New Roman" w:cs="Times New Roman"/>
          <w:i/>
          <w:iCs/>
        </w:rPr>
        <w:t xml:space="preserve"> procul dubio scimus</w:t>
      </w:r>
      <w:r>
        <w:rPr>
          <w:rFonts w:eastAsia="Times New Roman" w:cs="Times New Roman"/>
        </w:rPr>
        <w:t xml:space="preserve"> </w:t>
      </w:r>
    </w:p>
    <w:p w14:paraId="26614ACA" w14:textId="77777777" w:rsidR="00EA612B" w:rsidRDefault="00EA612B">
      <w:pPr>
        <w:numPr>
          <w:ilvl w:val="0"/>
          <w:numId w:val="1"/>
        </w:numPr>
        <w:spacing w:before="100" w:beforeAutospacing="1" w:after="100" w:afterAutospacing="1"/>
        <w:rPr>
          <w:rFonts w:eastAsia="Times New Roman" w:cs="Times New Roman"/>
        </w:rPr>
      </w:pPr>
      <w:r>
        <w:rPr>
          <w:rFonts w:eastAsia="Times New Roman" w:cs="Times New Roman"/>
        </w:rPr>
        <w:t>Heinrich II. für Kaufungen (D H.II. 409)</w:t>
      </w:r>
      <w:r>
        <w:rPr>
          <w:rFonts w:eastAsia="Times New Roman" w:cs="Times New Roman"/>
        </w:rPr>
        <w:br/>
      </w:r>
      <w:r>
        <w:rPr>
          <w:rFonts w:eastAsia="Times New Roman" w:cs="Times New Roman"/>
          <w:i/>
          <w:iCs/>
        </w:rPr>
        <w:t xml:space="preserve">Quamvis generaliter in omnes catholicae fidei cultores nos liberales et largos esse conveniat, specialiter tamen in dilcectissimam nostri coniugem </w:t>
      </w:r>
      <w:r>
        <w:rPr>
          <w:rFonts w:eastAsia="Times New Roman" w:cs="Times New Roman"/>
          <w:b/>
          <w:bCs/>
          <w:i/>
          <w:iCs/>
        </w:rPr>
        <w:t>Chunigundam</w:t>
      </w:r>
      <w:r>
        <w:rPr>
          <w:rFonts w:eastAsia="Times New Roman" w:cs="Times New Roman"/>
          <w:i/>
          <w:iCs/>
        </w:rPr>
        <w:t xml:space="preserve"> scilicet imperatricem augustam, qui in Christo </w:t>
      </w:r>
      <w:r>
        <w:rPr>
          <w:rFonts w:eastAsia="Times New Roman" w:cs="Times New Roman"/>
          <w:b/>
          <w:bCs/>
          <w:i/>
          <w:iCs/>
        </w:rPr>
        <w:t>sumus una caro</w:t>
      </w:r>
      <w:r>
        <w:rPr>
          <w:rFonts w:eastAsia="Times New Roman" w:cs="Times New Roman"/>
          <w:i/>
          <w:iCs/>
        </w:rPr>
        <w:t>, nos liberalissimos et largissimos esse res ipsa et ratio compellit</w:t>
      </w:r>
      <w:r>
        <w:rPr>
          <w:rFonts w:eastAsia="Times New Roman" w:cs="Times New Roman"/>
        </w:rPr>
        <w:t xml:space="preserve"> </w:t>
      </w:r>
    </w:p>
    <w:p w14:paraId="7D7EEFD6" w14:textId="77777777" w:rsidR="00EA612B" w:rsidRDefault="00EA612B">
      <w:pPr>
        <w:numPr>
          <w:ilvl w:val="0"/>
          <w:numId w:val="2"/>
        </w:numPr>
        <w:spacing w:before="100" w:beforeAutospacing="1" w:after="100" w:afterAutospacing="1"/>
        <w:rPr>
          <w:rFonts w:eastAsia="Times New Roman" w:cs="Times New Roman"/>
        </w:rPr>
      </w:pPr>
      <w:r>
        <w:rPr>
          <w:rFonts w:eastAsia="Times New Roman" w:cs="Times New Roman"/>
        </w:rPr>
        <w:t xml:space="preserve">König Wilhelm II. von Sizilien bei der Gründung von Monreale </w:t>
      </w:r>
      <w:r>
        <w:rPr>
          <w:rFonts w:eastAsia="Times New Roman" w:cs="Times New Roman"/>
        </w:rPr>
        <w:br/>
      </w:r>
      <w:r>
        <w:rPr>
          <w:rFonts w:eastAsia="Times New Roman" w:cs="Times New Roman"/>
          <w:i/>
          <w:iCs/>
        </w:rPr>
        <w:t xml:space="preserve">Inter universas laudes et mansuetudinis nostre preconia et successus innumeros, quibus divina clementia largiente regnum nostrum iugiter exaltatur, inter actus nostros et operum dispositionem, que rex regum omnium et dominantium dominator a primordiis nostri regiminis clementer direxit et misericorditer custodivit, nichil est quod equa lance pensemus, nichil de quo mens nostra gloriosius iucundetur quam quod pie devotioni nostre contigit aulam superno regi construere et ei fundare basilicam, de cuius dextera diadema suscipimus quo propiciante tranquillum nostrum regimen in pace fovetur et omnes eminus turbines propelluntur; in hoc siquidem de affluentia terrenorum que de celesti largitione percepimus, </w:t>
      </w:r>
      <w:r>
        <w:rPr>
          <w:rFonts w:eastAsia="Times New Roman" w:cs="Times New Roman"/>
          <w:b/>
          <w:bCs/>
          <w:i/>
          <w:iCs/>
        </w:rPr>
        <w:t>in celesti gazofylatio portionem inmarcessibilem</w:t>
      </w:r>
      <w:r>
        <w:rPr>
          <w:rFonts w:eastAsia="Times New Roman" w:cs="Times New Roman"/>
          <w:i/>
          <w:iCs/>
        </w:rPr>
        <w:t xml:space="preserve"> confidimus collocasse et ibi divino </w:t>
      </w:r>
      <w:r>
        <w:rPr>
          <w:rFonts w:eastAsia="Times New Roman" w:cs="Times New Roman"/>
          <w:b/>
          <w:bCs/>
          <w:i/>
          <w:iCs/>
        </w:rPr>
        <w:t>thesaurizasse</w:t>
      </w:r>
      <w:r>
        <w:rPr>
          <w:rFonts w:eastAsia="Times New Roman" w:cs="Times New Roman"/>
          <w:i/>
          <w:iCs/>
        </w:rPr>
        <w:t xml:space="preserve"> permissu </w:t>
      </w:r>
      <w:r>
        <w:rPr>
          <w:rFonts w:eastAsia="Times New Roman" w:cs="Times New Roman"/>
          <w:b/>
          <w:bCs/>
          <w:i/>
          <w:iCs/>
        </w:rPr>
        <w:t>ubi neque erugo neque tinea demolitur</w:t>
      </w:r>
      <w:r>
        <w:rPr>
          <w:rFonts w:eastAsia="Times New Roman" w:cs="Times New Roman"/>
          <w:i/>
          <w:iCs/>
        </w:rPr>
        <w:t>.</w:t>
      </w:r>
      <w:r>
        <w:rPr>
          <w:rFonts w:eastAsia="Times New Roman" w:cs="Times New Roman"/>
        </w:rPr>
        <w:t xml:space="preserve"> </w:t>
      </w:r>
    </w:p>
    <w:p w14:paraId="09C3D763" w14:textId="77777777" w:rsidR="00EA612B" w:rsidRDefault="00EA612B">
      <w:pPr>
        <w:numPr>
          <w:ilvl w:val="0"/>
          <w:numId w:val="3"/>
        </w:numPr>
        <w:spacing w:before="100" w:beforeAutospacing="1" w:after="100" w:afterAutospacing="1"/>
        <w:rPr>
          <w:rFonts w:eastAsia="Times New Roman" w:cs="Times New Roman"/>
        </w:rPr>
      </w:pPr>
      <w:r>
        <w:rPr>
          <w:rFonts w:eastAsia="Times New Roman" w:cs="Times New Roman"/>
        </w:rPr>
        <w:t>Kaiser Heinrich VI. für San Giovanni in Fiore (BB 379)</w:t>
      </w:r>
      <w:r>
        <w:rPr>
          <w:rFonts w:eastAsia="Times New Roman" w:cs="Times New Roman"/>
        </w:rPr>
        <w:br/>
      </w:r>
      <w:r>
        <w:rPr>
          <w:rFonts w:eastAsia="Times New Roman" w:cs="Times New Roman"/>
          <w:i/>
          <w:iCs/>
        </w:rPr>
        <w:t>Cum imperialem deceat</w:t>
      </w:r>
      <w:bookmarkStart w:id="0" w:name="_GoBack"/>
      <w:bookmarkEnd w:id="0"/>
      <w:r>
        <w:rPr>
          <w:rFonts w:eastAsia="Times New Roman" w:cs="Times New Roman"/>
          <w:i/>
          <w:iCs/>
        </w:rPr>
        <w:t xml:space="preserve"> celsitudinem omnibus iusta petentibus benignitatis sue animum inclinare, illorum precipue debet petitiones ammittere, qui divinis servitiis dedicati </w:t>
      </w:r>
      <w:r>
        <w:rPr>
          <w:rFonts w:eastAsia="Times New Roman" w:cs="Times New Roman"/>
          <w:b/>
          <w:bCs/>
          <w:i/>
          <w:iCs/>
        </w:rPr>
        <w:t>pro humanis excessibus</w:t>
      </w:r>
      <w:r>
        <w:rPr>
          <w:rFonts w:eastAsia="Times New Roman" w:cs="Times New Roman"/>
          <w:i/>
          <w:iCs/>
        </w:rPr>
        <w:t xml:space="preserve"> non cessant preces effundere et ab omnipotente Deo delictorum nostrorum </w:t>
      </w:r>
      <w:r>
        <w:rPr>
          <w:rFonts w:eastAsia="Times New Roman" w:cs="Times New Roman"/>
          <w:b/>
          <w:bCs/>
          <w:i/>
          <w:iCs/>
        </w:rPr>
        <w:t>veniam implorare</w:t>
      </w:r>
      <w:r>
        <w:rPr>
          <w:rFonts w:eastAsia="Times New Roman" w:cs="Times New Roman"/>
          <w:i/>
          <w:iCs/>
        </w:rPr>
        <w:t>.</w:t>
      </w:r>
      <w:r>
        <w:rPr>
          <w:rFonts w:eastAsia="Times New Roman" w:cs="Times New Roman"/>
        </w:rPr>
        <w:t xml:space="preserve"> </w:t>
      </w:r>
    </w:p>
    <w:p w14:paraId="392AA125" w14:textId="77777777" w:rsidR="00EA612B" w:rsidRDefault="00EA612B">
      <w:pPr>
        <w:numPr>
          <w:ilvl w:val="0"/>
          <w:numId w:val="3"/>
        </w:numPr>
        <w:spacing w:before="100" w:beforeAutospacing="1" w:after="100" w:afterAutospacing="1"/>
        <w:rPr>
          <w:rFonts w:eastAsia="Times New Roman" w:cs="Times New Roman"/>
        </w:rPr>
      </w:pPr>
      <w:r>
        <w:rPr>
          <w:rFonts w:eastAsia="Times New Roman" w:cs="Times New Roman"/>
        </w:rPr>
        <w:t xml:space="preserve">Kaiserin Konstanze für San Giovanni in Fiore (D Ks. 47) </w:t>
      </w:r>
      <w:r>
        <w:rPr>
          <w:rFonts w:eastAsia="Times New Roman" w:cs="Times New Roman"/>
          <w:i/>
          <w:iCs/>
        </w:rPr>
        <w:t xml:space="preserve">Cum omnia humanitatis opera, que pietatis conferuntur intuitu, stabile apud Deum habeant firmamentum, illud precipue </w:t>
      </w:r>
      <w:r>
        <w:rPr>
          <w:rFonts w:eastAsia="Times New Roman" w:cs="Times New Roman"/>
          <w:b/>
          <w:bCs/>
          <w:i/>
          <w:iCs/>
        </w:rPr>
        <w:t>eternas nobis promeretur divitias</w:t>
      </w:r>
      <w:r>
        <w:rPr>
          <w:rFonts w:eastAsia="Times New Roman" w:cs="Times New Roman"/>
          <w:i/>
          <w:iCs/>
        </w:rPr>
        <w:t>, quod locis religiosis et Christi pauperibus impartimur.</w:t>
      </w:r>
      <w:r>
        <w:rPr>
          <w:rFonts w:eastAsia="Times New Roman" w:cs="Times New Roman"/>
        </w:rPr>
        <w:t xml:space="preserve"> </w:t>
      </w:r>
    </w:p>
    <w:p w14:paraId="3374DA6A" w14:textId="77777777" w:rsidR="00EA612B" w:rsidRDefault="00EA612B">
      <w:pPr>
        <w:numPr>
          <w:ilvl w:val="0"/>
          <w:numId w:val="3"/>
        </w:numPr>
        <w:spacing w:before="100" w:beforeAutospacing="1" w:after="100" w:afterAutospacing="1"/>
        <w:rPr>
          <w:rFonts w:eastAsia="Times New Roman" w:cs="Times New Roman"/>
        </w:rPr>
      </w:pPr>
      <w:r>
        <w:rPr>
          <w:rFonts w:eastAsia="Times New Roman" w:cs="Times New Roman"/>
        </w:rPr>
        <w:lastRenderedPageBreak/>
        <w:t>Friedrich II. für San Giovanni in Fiore (Zsm 181)</w:t>
      </w:r>
      <w:r>
        <w:rPr>
          <w:rFonts w:eastAsia="Times New Roman" w:cs="Times New Roman"/>
        </w:rPr>
        <w:br/>
      </w:r>
      <w:r>
        <w:rPr>
          <w:rFonts w:eastAsia="Times New Roman" w:cs="Times New Roman"/>
          <w:i/>
          <w:iCs/>
        </w:rPr>
        <w:t xml:space="preserve">Debitis ceterarum ecclesiarum regni nostri beneficiis per gratiam pie devotionis et innate compassionis intendimus, sed monasterium Floris, quod solum in Sicilie regno fundator dominus imperator pater noster ac domina imperatrix mater nostra bone memorie dotare prediis et privilegiis specialiter elegerunt, </w:t>
      </w:r>
      <w:r>
        <w:rPr>
          <w:rFonts w:eastAsia="Times New Roman" w:cs="Times New Roman"/>
          <w:b/>
          <w:bCs/>
          <w:i/>
          <w:iCs/>
        </w:rPr>
        <w:t>hereditaria pietate velut quadam solvendi successione tueri</w:t>
      </w:r>
      <w:r>
        <w:rPr>
          <w:rFonts w:eastAsia="Times New Roman" w:cs="Times New Roman"/>
          <w:i/>
          <w:iCs/>
        </w:rPr>
        <w:t xml:space="preserve">, regere et relevare debemus et tantum ei gratie ac favoris impendere, ut opus talium et favorum Deo cooperante nulli umquam valeat defectui vel despectui subisse. Accessit insuper huic rationi, quod Matthei venerabilis abbatis et conventus ipsius sacre domus cum probata fide vita, devotio et </w:t>
      </w:r>
      <w:r>
        <w:rPr>
          <w:rFonts w:eastAsia="Times New Roman" w:cs="Times New Roman"/>
          <w:b/>
          <w:bCs/>
          <w:i/>
          <w:iCs/>
        </w:rPr>
        <w:t>grata servitia</w:t>
      </w:r>
      <w:r>
        <w:rPr>
          <w:rFonts w:eastAsia="Times New Roman" w:cs="Times New Roman"/>
          <w:i/>
          <w:iCs/>
        </w:rPr>
        <w:t xml:space="preserve"> nostram sibi pensionem et abundantiorem gratiam effecerunt.</w:t>
      </w:r>
      <w:r>
        <w:rPr>
          <w:rFonts w:eastAsia="Times New Roman" w:cs="Times New Roman"/>
        </w:rPr>
        <w:t xml:space="preserve"> </w:t>
      </w:r>
    </w:p>
    <w:p w14:paraId="24EBE369" w14:textId="77777777" w:rsidR="00431433" w:rsidRDefault="00431433" w:rsidP="00431433">
      <w:pPr>
        <w:spacing w:before="100" w:beforeAutospacing="1" w:after="100" w:afterAutospacing="1"/>
        <w:rPr>
          <w:rFonts w:eastAsia="Times New Roman" w:cs="Times New Roman"/>
        </w:rPr>
      </w:pPr>
    </w:p>
    <w:p w14:paraId="087FF0E4" w14:textId="77777777" w:rsidR="00431433" w:rsidRDefault="00431433" w:rsidP="00431433">
      <w:pPr>
        <w:pStyle w:val="berschrift3"/>
        <w:jc w:val="center"/>
        <w:rPr>
          <w:rFonts w:eastAsia="Times New Roman" w:cs="Times New Roman"/>
        </w:rPr>
      </w:pPr>
      <w:r>
        <w:rPr>
          <w:rFonts w:eastAsia="Times New Roman" w:cs="Times New Roman"/>
        </w:rPr>
        <w:t>Arengen aus Papsturkunden</w:t>
      </w:r>
    </w:p>
    <w:p w14:paraId="2F4901B8" w14:textId="194984FA" w:rsidR="00431433" w:rsidRPr="00EC2985" w:rsidRDefault="00431433" w:rsidP="00431433">
      <w:pPr>
        <w:spacing w:after="240"/>
        <w:rPr>
          <w:rFonts w:eastAsia="Times New Roman" w:cs="Times New Roman"/>
          <w:b/>
        </w:rPr>
      </w:pPr>
      <w:r>
        <w:rPr>
          <w:rFonts w:eastAsia="Times New Roman" w:cs="Times New Roman"/>
        </w:rPr>
        <w:br/>
        <w:t xml:space="preserve">In diesem Abschnitt werden Beispiele von Arengen aus Papsturkunden geboten. Zur Orientierung dienen die Initienverzeichnisse von </w:t>
      </w:r>
      <w:hyperlink r:id="rId13" w:anchor="Hiestand" w:history="1">
        <w:r>
          <w:rPr>
            <w:rStyle w:val="Link"/>
            <w:rFonts w:eastAsia="Times New Roman" w:cs="Times New Roman"/>
          </w:rPr>
          <w:t>Hiestand</w:t>
        </w:r>
      </w:hyperlink>
      <w:r>
        <w:rPr>
          <w:rFonts w:eastAsia="Times New Roman" w:cs="Times New Roman"/>
        </w:rPr>
        <w:t xml:space="preserve"> (für den Bereich der Italia Pontificia) und </w:t>
      </w:r>
      <w:hyperlink r:id="rId14" w:anchor="Schaller" w:history="1">
        <w:r>
          <w:rPr>
            <w:rStyle w:val="Link"/>
            <w:rFonts w:eastAsia="Times New Roman" w:cs="Times New Roman"/>
          </w:rPr>
          <w:t>Schaller</w:t>
        </w:r>
      </w:hyperlink>
      <w:r>
        <w:rPr>
          <w:rFonts w:eastAsia="Times New Roman" w:cs="Times New Roman"/>
        </w:rPr>
        <w:t xml:space="preserve"> (für die bei Potthast verzeichneten Urkunden). </w:t>
      </w:r>
      <w:r>
        <w:rPr>
          <w:rFonts w:eastAsia="Times New Roman" w:cs="Times New Roman"/>
        </w:rPr>
        <w:br/>
      </w:r>
      <w:r>
        <w:rPr>
          <w:rFonts w:eastAsia="Times New Roman" w:cs="Times New Roman"/>
        </w:rPr>
        <w:br/>
      </w:r>
      <w:r w:rsidRPr="00EC2985">
        <w:rPr>
          <w:rFonts w:eastAsia="Times New Roman" w:cs="Times New Roman"/>
          <w:b/>
        </w:rPr>
        <w:t>Honorius III.</w:t>
      </w:r>
    </w:p>
    <w:p w14:paraId="1ED3ADBD" w14:textId="77777777" w:rsidR="00431433" w:rsidRDefault="00431433" w:rsidP="00431433">
      <w:pPr>
        <w:numPr>
          <w:ilvl w:val="0"/>
          <w:numId w:val="4"/>
        </w:numPr>
        <w:spacing w:before="100" w:beforeAutospacing="1" w:after="100" w:afterAutospacing="1"/>
        <w:rPr>
          <w:rFonts w:eastAsia="Times New Roman" w:cs="Times New Roman"/>
        </w:rPr>
      </w:pPr>
      <w:r>
        <w:rPr>
          <w:rFonts w:eastAsia="Times New Roman" w:cs="Times New Roman"/>
        </w:rPr>
        <w:t>Zisterzienserrundschreiben</w:t>
      </w:r>
    </w:p>
    <w:p w14:paraId="39BCE07C" w14:textId="77777777" w:rsidR="00431433" w:rsidRDefault="00431433" w:rsidP="00431433">
      <w:pPr>
        <w:numPr>
          <w:ilvl w:val="1"/>
          <w:numId w:val="4"/>
        </w:numPr>
        <w:spacing w:before="100" w:beforeAutospacing="1" w:after="100" w:afterAutospacing="1"/>
        <w:rPr>
          <w:rFonts w:eastAsia="Times New Roman" w:cs="Times New Roman"/>
        </w:rPr>
      </w:pPr>
      <w:r>
        <w:rPr>
          <w:rFonts w:eastAsia="Times New Roman" w:cs="Times New Roman"/>
          <w:i/>
          <w:iCs/>
        </w:rPr>
        <w:t>Constituti iuxta verbum prophete licet insufficientibus meritis super gentes et regna officii nostri debitum decenter exequimur cum evellimus evellenda et plantanda plantamus, recta regimus et dirigimus indirecta.</w:t>
      </w:r>
    </w:p>
    <w:p w14:paraId="1DFCD110" w14:textId="77777777" w:rsidR="00431433" w:rsidRDefault="00431433" w:rsidP="00431433">
      <w:pPr>
        <w:numPr>
          <w:ilvl w:val="1"/>
          <w:numId w:val="4"/>
        </w:numPr>
        <w:spacing w:before="100" w:beforeAutospacing="1" w:after="100" w:afterAutospacing="1"/>
        <w:rPr>
          <w:rFonts w:eastAsia="Times New Roman" w:cs="Times New Roman"/>
        </w:rPr>
      </w:pPr>
      <w:r>
        <w:rPr>
          <w:rFonts w:eastAsia="Times New Roman" w:cs="Times New Roman"/>
          <w:i/>
          <w:iCs/>
        </w:rPr>
        <w:t>Cum preter pauperem victum vestrum omnia bona vestra hospitalitati et aliis piis operibus officiosissime sint exposita, satis inhumane aliis auferri videtur egenis, quicquid a vobis violentia vel ingenio extorquetur. Nec quia dominus manuum vestrarum operibus benedicens viaticum peregrinationis vestre, quantomagis illud fraterna caritate in usus pauperum distribuitis, tantomagis celesti alluvione multiplicat, estis deterioris conditionis habendi, sed potius melioris, cum non nisi vasis paratis celestis gratie oleum infundatur, quod pauperis mulieris deficientibus vasis stetit.</w:t>
      </w:r>
      <w:r>
        <w:rPr>
          <w:rFonts w:eastAsia="Times New Roman" w:cs="Times New Roman"/>
        </w:rPr>
        <w:t xml:space="preserve"> </w:t>
      </w:r>
    </w:p>
    <w:p w14:paraId="06ED0864" w14:textId="77777777" w:rsidR="00431433" w:rsidRDefault="00431433" w:rsidP="00EC2985">
      <w:pPr>
        <w:spacing w:beforeAutospacing="1" w:afterAutospacing="1"/>
        <w:rPr>
          <w:rFonts w:eastAsia="Times New Roman" w:cs="Times New Roman"/>
        </w:rPr>
      </w:pPr>
    </w:p>
    <w:p w14:paraId="4E6792EF" w14:textId="77777777" w:rsidR="00431433" w:rsidRPr="00EC2985" w:rsidRDefault="00431433" w:rsidP="00431433">
      <w:pPr>
        <w:rPr>
          <w:rFonts w:eastAsia="Times New Roman" w:cs="Times New Roman"/>
          <w:b/>
        </w:rPr>
      </w:pPr>
      <w:r w:rsidRPr="00EC2985">
        <w:rPr>
          <w:rFonts w:eastAsia="Times New Roman" w:cs="Times New Roman"/>
          <w:b/>
        </w:rPr>
        <w:t xml:space="preserve">Gregor IX. </w:t>
      </w:r>
    </w:p>
    <w:p w14:paraId="767CB3E9" w14:textId="77777777" w:rsidR="00431433" w:rsidRDefault="00431433" w:rsidP="00431433">
      <w:pPr>
        <w:numPr>
          <w:ilvl w:val="0"/>
          <w:numId w:val="5"/>
        </w:numPr>
        <w:spacing w:before="100" w:beforeAutospacing="1" w:after="100" w:afterAutospacing="1"/>
        <w:rPr>
          <w:rFonts w:eastAsia="Times New Roman" w:cs="Times New Roman"/>
        </w:rPr>
      </w:pPr>
      <w:r>
        <w:rPr>
          <w:rFonts w:eastAsia="Times New Roman" w:cs="Times New Roman"/>
        </w:rPr>
        <w:t>Ablaß für den Bamberger Dom</w:t>
      </w:r>
      <w:r>
        <w:rPr>
          <w:rFonts w:eastAsia="Times New Roman" w:cs="Times New Roman"/>
        </w:rPr>
        <w:br/>
      </w:r>
      <w:r>
        <w:rPr>
          <w:rFonts w:eastAsia="Times New Roman" w:cs="Times New Roman"/>
          <w:i/>
          <w:iCs/>
        </w:rPr>
        <w:t>Quoniam, ut ait apostolus, omnes stabimus ante tribunal Christi recepturi prout in corpore gessimus sive bonum fuerit sive malum , oportet nos diem messionis extreme misericordie operibus prevenire ac eternorum intuitu seminare in terris quod reddente domino cum multiplicato fructu recolligere debeamus in celis firmam spem fiduciamque tenentes, quoniam qui parce seminat, parce et metet, et qui seminat in benedictionibus, de benedictionibus et metet vitam eternam.</w:t>
      </w:r>
      <w:r>
        <w:rPr>
          <w:rFonts w:eastAsia="Times New Roman" w:cs="Times New Roman"/>
        </w:rPr>
        <w:br/>
      </w:r>
      <w:r>
        <w:rPr>
          <w:rFonts w:eastAsia="Times New Roman" w:cs="Times New Roman"/>
          <w:sz w:val="15"/>
          <w:szCs w:val="15"/>
        </w:rPr>
        <w:t xml:space="preserve">Den kompletten Text der Urkunde finden Sie </w:t>
      </w:r>
      <w:hyperlink r:id="rId15" w:history="1">
        <w:r>
          <w:rPr>
            <w:rStyle w:val="Link"/>
            <w:rFonts w:eastAsia="Times New Roman" w:cs="Times New Roman"/>
            <w:sz w:val="15"/>
            <w:szCs w:val="15"/>
          </w:rPr>
          <w:t>hier</w:t>
        </w:r>
      </w:hyperlink>
      <w:r>
        <w:rPr>
          <w:rFonts w:eastAsia="Times New Roman" w:cs="Times New Roman"/>
          <w:sz w:val="15"/>
          <w:szCs w:val="15"/>
        </w:rPr>
        <w:t>.</w:t>
      </w:r>
      <w:r>
        <w:rPr>
          <w:rFonts w:eastAsia="Times New Roman" w:cs="Times New Roman"/>
        </w:rPr>
        <w:t xml:space="preserve"> </w:t>
      </w:r>
    </w:p>
    <w:p w14:paraId="290EF0BA" w14:textId="77777777" w:rsidR="00431433" w:rsidRDefault="00431433" w:rsidP="00431433">
      <w:pPr>
        <w:numPr>
          <w:ilvl w:val="0"/>
          <w:numId w:val="5"/>
        </w:numPr>
        <w:spacing w:before="100" w:beforeAutospacing="1" w:after="100" w:afterAutospacing="1"/>
        <w:rPr>
          <w:rFonts w:eastAsia="Times New Roman" w:cs="Times New Roman"/>
        </w:rPr>
      </w:pPr>
      <w:r>
        <w:rPr>
          <w:rFonts w:eastAsia="Times New Roman" w:cs="Times New Roman"/>
        </w:rPr>
        <w:t>Ablaß für St. Stephan zu Bamberg</w:t>
      </w:r>
      <w:r>
        <w:rPr>
          <w:rFonts w:eastAsia="Times New Roman" w:cs="Times New Roman"/>
        </w:rPr>
        <w:br/>
      </w:r>
      <w:r>
        <w:rPr>
          <w:rFonts w:eastAsia="Times New Roman" w:cs="Times New Roman"/>
          <w:i/>
          <w:iCs/>
        </w:rPr>
        <w:t>Ad veneranda beati Stephani martiris merita fideles Christi eo libentius invitamus quo id ad eorum salutem novimus specialiter pertinere.</w:t>
      </w:r>
      <w:r>
        <w:rPr>
          <w:rFonts w:eastAsia="Times New Roman" w:cs="Times New Roman"/>
        </w:rPr>
        <w:br/>
      </w:r>
      <w:r>
        <w:rPr>
          <w:rFonts w:eastAsia="Times New Roman" w:cs="Times New Roman"/>
          <w:sz w:val="15"/>
          <w:szCs w:val="15"/>
        </w:rPr>
        <w:t xml:space="preserve">Die komplette Urkunde finden Sie </w:t>
      </w:r>
      <w:hyperlink r:id="rId16" w:history="1">
        <w:r>
          <w:rPr>
            <w:rStyle w:val="Link"/>
            <w:rFonts w:eastAsia="Times New Roman" w:cs="Times New Roman"/>
            <w:sz w:val="15"/>
            <w:szCs w:val="15"/>
          </w:rPr>
          <w:t>hier</w:t>
        </w:r>
      </w:hyperlink>
      <w:r>
        <w:rPr>
          <w:rFonts w:eastAsia="Times New Roman" w:cs="Times New Roman"/>
          <w:sz w:val="15"/>
          <w:szCs w:val="15"/>
        </w:rPr>
        <w:t>.</w:t>
      </w:r>
      <w:r>
        <w:rPr>
          <w:rFonts w:eastAsia="Times New Roman" w:cs="Times New Roman"/>
        </w:rPr>
        <w:t xml:space="preserve"> </w:t>
      </w:r>
    </w:p>
    <w:p w14:paraId="3D35C572" w14:textId="77777777" w:rsidR="00431433" w:rsidRDefault="00431433" w:rsidP="00431433">
      <w:pPr>
        <w:numPr>
          <w:ilvl w:val="0"/>
          <w:numId w:val="5"/>
        </w:numPr>
        <w:spacing w:before="100" w:beforeAutospacing="1" w:after="100" w:afterAutospacing="1"/>
        <w:rPr>
          <w:rFonts w:eastAsia="Times New Roman" w:cs="Times New Roman"/>
        </w:rPr>
      </w:pPr>
      <w:r>
        <w:rPr>
          <w:rFonts w:eastAsia="Times New Roman" w:cs="Times New Roman"/>
        </w:rPr>
        <w:t>Ablaß für Kloster Michelsberg</w:t>
      </w:r>
      <w:r>
        <w:rPr>
          <w:rFonts w:eastAsia="Times New Roman" w:cs="Times New Roman"/>
        </w:rPr>
        <w:br/>
      </w:r>
      <w:r>
        <w:rPr>
          <w:rFonts w:eastAsia="Times New Roman" w:cs="Times New Roman"/>
          <w:i/>
          <w:iCs/>
        </w:rPr>
        <w:t>Licet is de cuius munere venit ut sibi a fidelibus suis digne ac laudabiliter serviatur de habundantia pietatis sue que merita supplicum excedit et vota beneservientibus multo maiora retribuat quam valeant promereri nichilominus tamen desiderantes reddere domino populam acceptabilem fideles Christi ad complacendum ei quasi quibusdam illectivis premiis indulgentiis scilicet et remissionibus invitamus ut exinde reddantur divine gratie aptiores</w:t>
      </w:r>
      <w:r>
        <w:rPr>
          <w:rFonts w:eastAsia="Times New Roman" w:cs="Times New Roman"/>
        </w:rPr>
        <w:br/>
      </w:r>
      <w:r>
        <w:rPr>
          <w:rFonts w:eastAsia="Times New Roman" w:cs="Times New Roman"/>
          <w:sz w:val="15"/>
          <w:szCs w:val="15"/>
        </w:rPr>
        <w:t xml:space="preserve">Die komplette Urkunde </w:t>
      </w:r>
      <w:hyperlink r:id="rId17" w:history="1">
        <w:r>
          <w:rPr>
            <w:rStyle w:val="Link"/>
            <w:rFonts w:eastAsia="Times New Roman" w:cs="Times New Roman"/>
            <w:sz w:val="15"/>
            <w:szCs w:val="15"/>
          </w:rPr>
          <w:t>hier</w:t>
        </w:r>
      </w:hyperlink>
      <w:r>
        <w:rPr>
          <w:rFonts w:eastAsia="Times New Roman" w:cs="Times New Roman"/>
          <w:sz w:val="15"/>
          <w:szCs w:val="15"/>
        </w:rPr>
        <w:t>.</w:t>
      </w:r>
      <w:r>
        <w:rPr>
          <w:rFonts w:eastAsia="Times New Roman" w:cs="Times New Roman"/>
        </w:rPr>
        <w:t xml:space="preserve"> </w:t>
      </w:r>
    </w:p>
    <w:p w14:paraId="52E470E4" w14:textId="77777777" w:rsidR="00431433" w:rsidRDefault="00431433" w:rsidP="00431433">
      <w:pPr>
        <w:numPr>
          <w:ilvl w:val="0"/>
          <w:numId w:val="5"/>
        </w:numPr>
        <w:spacing w:before="100" w:beforeAutospacing="1" w:after="100" w:afterAutospacing="1"/>
        <w:rPr>
          <w:rFonts w:eastAsia="Times New Roman" w:cs="Times New Roman"/>
        </w:rPr>
      </w:pPr>
      <w:r>
        <w:rPr>
          <w:rFonts w:eastAsia="Times New Roman" w:cs="Times New Roman"/>
        </w:rPr>
        <w:t>an das Kapitel von Messina wegen der Verleihung einer Pfründe an den Bruder des kaiserlichen Notars Johannes de Lauro:</w:t>
      </w:r>
      <w:r>
        <w:rPr>
          <w:rFonts w:eastAsia="Times New Roman" w:cs="Times New Roman"/>
        </w:rPr>
        <w:br/>
      </w:r>
      <w:r>
        <w:rPr>
          <w:rFonts w:eastAsia="Times New Roman" w:cs="Times New Roman"/>
          <w:i/>
          <w:iCs/>
        </w:rPr>
        <w:t>Ordinata caritas uno qua|si fecundata conceptu geminum fructum parit, cum ecclesiastica beneficia sic dispensat ut non minus provideat ecclesiis quam personis, nam illa liberalitas est merito amplectenda que reficiens donatarium proficit donatori.</w:t>
      </w:r>
      <w:r>
        <w:rPr>
          <w:rFonts w:eastAsia="Times New Roman" w:cs="Times New Roman"/>
        </w:rPr>
        <w:t xml:space="preserve"> </w:t>
      </w:r>
    </w:p>
    <w:p w14:paraId="20CBC9CD" w14:textId="77777777" w:rsidR="00431433" w:rsidRPr="00EC2985" w:rsidRDefault="00431433" w:rsidP="00431433">
      <w:pPr>
        <w:rPr>
          <w:rFonts w:eastAsia="Times New Roman" w:cs="Times New Roman"/>
          <w:b/>
        </w:rPr>
      </w:pPr>
      <w:r w:rsidRPr="00EC2985">
        <w:rPr>
          <w:rFonts w:eastAsia="Times New Roman" w:cs="Times New Roman"/>
          <w:b/>
        </w:rPr>
        <w:lastRenderedPageBreak/>
        <w:t xml:space="preserve">Clemens IV. </w:t>
      </w:r>
    </w:p>
    <w:p w14:paraId="45097153" w14:textId="77777777" w:rsidR="00431433" w:rsidRDefault="00431433" w:rsidP="00431433">
      <w:pPr>
        <w:numPr>
          <w:ilvl w:val="0"/>
          <w:numId w:val="6"/>
        </w:numPr>
        <w:spacing w:before="100" w:beforeAutospacing="1" w:after="100" w:afterAutospacing="1"/>
        <w:rPr>
          <w:rFonts w:eastAsia="Times New Roman" w:cs="Times New Roman"/>
        </w:rPr>
      </w:pPr>
      <w:r>
        <w:rPr>
          <w:rFonts w:eastAsia="Times New Roman" w:cs="Times New Roman"/>
        </w:rPr>
        <w:t>für Messina</w:t>
      </w:r>
      <w:r>
        <w:rPr>
          <w:rFonts w:eastAsia="Times New Roman" w:cs="Times New Roman"/>
        </w:rPr>
        <w:br/>
      </w:r>
      <w:r>
        <w:rPr>
          <w:rFonts w:eastAsia="Times New Roman" w:cs="Times New Roman"/>
          <w:i/>
          <w:iCs/>
        </w:rPr>
        <w:t>Etsi secundum Apostolum alter alterius debeat onera supportare, ut impleat legem Christi, multo tamen fortius subditi suorum tenentur ferre onera prelatorum, cum ipsa natura deposcat ut membra capiti compati debeant patienti.</w:t>
      </w:r>
      <w:r>
        <w:rPr>
          <w:rFonts w:eastAsia="Times New Roman" w:cs="Times New Roman"/>
        </w:rPr>
        <w:t xml:space="preserve"> </w:t>
      </w:r>
    </w:p>
    <w:p w14:paraId="164D4B4E" w14:textId="77777777" w:rsidR="00431433" w:rsidRDefault="00431433" w:rsidP="00431433">
      <w:pPr>
        <w:numPr>
          <w:ilvl w:val="0"/>
          <w:numId w:val="6"/>
        </w:numPr>
        <w:spacing w:before="100" w:beforeAutospacing="1" w:after="100" w:afterAutospacing="1"/>
        <w:rPr>
          <w:rFonts w:eastAsia="Times New Roman" w:cs="Times New Roman"/>
        </w:rPr>
      </w:pPr>
      <w:r>
        <w:rPr>
          <w:rFonts w:eastAsia="Times New Roman" w:cs="Times New Roman"/>
        </w:rPr>
        <w:t>für Erzbischof Bartholomäus von Messina</w:t>
      </w:r>
    </w:p>
    <w:p w14:paraId="2E4EB41F" w14:textId="77777777" w:rsidR="00431433" w:rsidRDefault="00431433" w:rsidP="00431433">
      <w:pPr>
        <w:numPr>
          <w:ilvl w:val="1"/>
          <w:numId w:val="6"/>
        </w:numPr>
        <w:spacing w:before="100" w:beforeAutospacing="1" w:after="100" w:afterAutospacing="1"/>
        <w:rPr>
          <w:rFonts w:eastAsia="Times New Roman" w:cs="Times New Roman"/>
        </w:rPr>
      </w:pPr>
      <w:r>
        <w:rPr>
          <w:rFonts w:eastAsia="Times New Roman" w:cs="Times New Roman"/>
          <w:i/>
          <w:iCs/>
        </w:rPr>
        <w:t>Tuis piis affectibus, in quibus salus animarum contineri dinoscitur, nos promptos in condigna gratia tibi decet occurrere qui salutem huiusmodi toto corde diligimus et sollicite procuramus.</w:t>
      </w:r>
    </w:p>
    <w:p w14:paraId="1C60D95D" w14:textId="77777777" w:rsidR="00431433" w:rsidRDefault="00431433" w:rsidP="00431433">
      <w:pPr>
        <w:numPr>
          <w:ilvl w:val="1"/>
          <w:numId w:val="6"/>
        </w:numPr>
        <w:spacing w:before="100" w:beforeAutospacing="1" w:after="100" w:afterAutospacing="1"/>
        <w:rPr>
          <w:rFonts w:eastAsia="Times New Roman" w:cs="Times New Roman"/>
        </w:rPr>
      </w:pPr>
      <w:r>
        <w:rPr>
          <w:rFonts w:eastAsia="Times New Roman" w:cs="Times New Roman"/>
          <w:i/>
          <w:iCs/>
        </w:rPr>
        <w:t>Devotionis tue probata sinceritas apud nos et sedem apostolicam meretur assidue ut personam tuam speciali prosequamur gratia et honore.</w:t>
      </w:r>
      <w:r>
        <w:rPr>
          <w:rFonts w:eastAsia="Times New Roman" w:cs="Times New Roman"/>
        </w:rPr>
        <w:t xml:space="preserve"> </w:t>
      </w:r>
    </w:p>
    <w:p w14:paraId="4A7F7EEE" w14:textId="77777777" w:rsidR="00431433" w:rsidRDefault="00431433" w:rsidP="00431433">
      <w:pPr>
        <w:rPr>
          <w:rFonts w:eastAsia="Times New Roman" w:cs="Times New Roman"/>
        </w:rPr>
      </w:pPr>
      <w:hyperlink r:id="rId18" w:anchor="formelb" w:history="1">
        <w:r w:rsidRPr="00EC2985">
          <w:rPr>
            <w:rStyle w:val="Link"/>
            <w:rFonts w:eastAsia="Times New Roman" w:cs="Times New Roman"/>
            <w:b/>
          </w:rPr>
          <w:t>Kopenhagener Formelbuch</w:t>
        </w:r>
      </w:hyperlink>
      <w:r w:rsidRPr="00EC2985">
        <w:rPr>
          <w:rFonts w:eastAsia="Times New Roman" w:cs="Times New Roman"/>
          <w:b/>
        </w:rPr>
        <w:t xml:space="preserve"> </w:t>
      </w:r>
      <w:r>
        <w:rPr>
          <w:rFonts w:eastAsia="Times New Roman" w:cs="Times New Roman"/>
        </w:rPr>
        <w:t xml:space="preserve">der Schismazeit (aus der Kanzlei Urbans VI.) </w:t>
      </w:r>
    </w:p>
    <w:p w14:paraId="18354881" w14:textId="77777777" w:rsidR="00431433" w:rsidRDefault="00431433" w:rsidP="00431433">
      <w:pPr>
        <w:numPr>
          <w:ilvl w:val="0"/>
          <w:numId w:val="7"/>
        </w:numPr>
        <w:spacing w:before="100" w:beforeAutospacing="1" w:after="100" w:afterAutospacing="1"/>
        <w:rPr>
          <w:rFonts w:eastAsia="Times New Roman" w:cs="Times New Roman"/>
        </w:rPr>
      </w:pPr>
      <w:r>
        <w:rPr>
          <w:rFonts w:eastAsia="Times New Roman" w:cs="Times New Roman"/>
        </w:rPr>
        <w:t>Formel für einen Ablaß:</w:t>
      </w:r>
      <w:r>
        <w:rPr>
          <w:rFonts w:eastAsia="Times New Roman" w:cs="Times New Roman"/>
        </w:rPr>
        <w:br/>
      </w:r>
      <w:r>
        <w:rPr>
          <w:rFonts w:eastAsia="Times New Roman" w:cs="Times New Roman"/>
          <w:i/>
          <w:iCs/>
        </w:rPr>
        <w:t>Splendor paterne glorie qui sua mundum illuminat ineffabili claritate pia vota fidelium de clementissima ipsius maiestate sperancium tunc precipue benigno favore prosequitur, cum devota ipsorum humilitas sanctorum precibus et meritis adiuvatur.</w:t>
      </w:r>
      <w:r>
        <w:rPr>
          <w:rFonts w:eastAsia="Times New Roman" w:cs="Times New Roman"/>
        </w:rPr>
        <w:t xml:space="preserve"> </w:t>
      </w:r>
    </w:p>
    <w:p w14:paraId="4F2B40BF" w14:textId="77777777" w:rsidR="00431433" w:rsidRDefault="00431433" w:rsidP="00431433">
      <w:pPr>
        <w:numPr>
          <w:ilvl w:val="0"/>
          <w:numId w:val="7"/>
        </w:numPr>
        <w:spacing w:before="100" w:beforeAutospacing="1" w:after="100" w:afterAutospacing="1"/>
        <w:rPr>
          <w:rFonts w:eastAsia="Times New Roman" w:cs="Times New Roman"/>
        </w:rPr>
      </w:pPr>
      <w:r>
        <w:rPr>
          <w:rFonts w:eastAsia="Times New Roman" w:cs="Times New Roman"/>
        </w:rPr>
        <w:t xml:space="preserve">Formel für eine Legitimation: </w:t>
      </w:r>
      <w:r>
        <w:rPr>
          <w:rFonts w:eastAsia="Times New Roman" w:cs="Times New Roman"/>
        </w:rPr>
        <w:br/>
      </w:r>
      <w:r>
        <w:rPr>
          <w:rFonts w:eastAsia="Times New Roman" w:cs="Times New Roman"/>
          <w:i/>
          <w:iCs/>
        </w:rPr>
        <w:t>Illegitime genitos quos morum decorat honestas, nature vicium minime decolorat quia decus virtutum geniture maculam abstergit in filiis et pudicicia morum pudor originis aboletur.</w:t>
      </w:r>
      <w:r>
        <w:rPr>
          <w:rFonts w:eastAsia="Times New Roman" w:cs="Times New Roman"/>
        </w:rPr>
        <w:t xml:space="preserve"> </w:t>
      </w:r>
    </w:p>
    <w:p w14:paraId="495FCEF4" w14:textId="77777777" w:rsidR="00431433" w:rsidRDefault="00431433" w:rsidP="00431433">
      <w:pPr>
        <w:numPr>
          <w:ilvl w:val="0"/>
          <w:numId w:val="7"/>
        </w:numPr>
        <w:spacing w:before="100" w:beforeAutospacing="1" w:after="100" w:afterAutospacing="1"/>
        <w:rPr>
          <w:rFonts w:eastAsia="Times New Roman" w:cs="Times New Roman"/>
        </w:rPr>
      </w:pPr>
      <w:r>
        <w:rPr>
          <w:rFonts w:eastAsia="Times New Roman" w:cs="Times New Roman"/>
        </w:rPr>
        <w:t xml:space="preserve">Formel für Aufhebung des Interdikts: </w:t>
      </w:r>
      <w:r>
        <w:rPr>
          <w:rFonts w:eastAsia="Times New Roman" w:cs="Times New Roman"/>
        </w:rPr>
        <w:br/>
      </w:r>
      <w:r>
        <w:rPr>
          <w:rFonts w:eastAsia="Times New Roman" w:cs="Times New Roman"/>
          <w:i/>
          <w:iCs/>
        </w:rPr>
        <w:t>Collata ligandi atque solvendi celitus beato Petro celesti clavigero potestate Romanus pontifex, eius successor Christique vicarius, utitur prout secundum diversitatem temporum et negociorum varietatem conspicit salubriter expedire</w:t>
      </w:r>
      <w:r>
        <w:rPr>
          <w:rFonts w:eastAsia="Times New Roman" w:cs="Times New Roman"/>
        </w:rPr>
        <w:t xml:space="preserve">. </w:t>
      </w:r>
    </w:p>
    <w:p w14:paraId="7B93523C" w14:textId="1064A63F" w:rsidR="00431433" w:rsidRDefault="00431433" w:rsidP="00431433">
      <w:pPr>
        <w:rPr>
          <w:rFonts w:eastAsia="Times New Roman" w:cs="Times New Roman"/>
        </w:rPr>
      </w:pPr>
      <w:r>
        <w:rPr>
          <w:rFonts w:eastAsia="Times New Roman" w:cs="Times New Roman"/>
        </w:rPr>
        <w:br/>
      </w:r>
    </w:p>
    <w:p w14:paraId="5DC6C1B4" w14:textId="77777777" w:rsidR="00431433" w:rsidRDefault="00431433" w:rsidP="00431433">
      <w:pPr>
        <w:rPr>
          <w:rFonts w:eastAsia="Times New Roman" w:cs="Times New Roman"/>
        </w:rPr>
      </w:pPr>
      <w:r>
        <w:rPr>
          <w:rFonts w:eastAsia="Times New Roman" w:cs="Times New Roman"/>
        </w:rPr>
        <w:pict w14:anchorId="2453C62E">
          <v:rect id="_x0000_i1028" style="width:0;height:1.5pt" o:hralign="center" o:hrstd="t" o:hr="t" fillcolor="#aaa" stroked="f"/>
        </w:pict>
      </w:r>
    </w:p>
    <w:p w14:paraId="2D02049D" w14:textId="77777777" w:rsidR="00431433" w:rsidRDefault="00431433" w:rsidP="00431433">
      <w:pPr>
        <w:rPr>
          <w:rFonts w:eastAsia="Times New Roman" w:cs="Times New Roman"/>
        </w:rPr>
      </w:pPr>
      <w:r>
        <w:rPr>
          <w:rFonts w:eastAsia="Times New Roman" w:cs="Times New Roman"/>
        </w:rPr>
        <w:t xml:space="preserve">© Horst Enzensberger 2007. Letzte Änderung am 9. März 2007 </w:t>
      </w:r>
    </w:p>
    <w:p w14:paraId="288B3C76" w14:textId="77777777" w:rsidR="00EA612B" w:rsidRDefault="00EA612B">
      <w:pPr>
        <w:rPr>
          <w:rFonts w:eastAsia="Times New Roman" w:cs="Times New Roman"/>
        </w:rPr>
      </w:pPr>
      <w:r>
        <w:rPr>
          <w:rFonts w:eastAsia="Times New Roman" w:cs="Times New Roman"/>
        </w:rPr>
        <w:pict w14:anchorId="3CE6A37C">
          <v:rect id="_x0000_i1026" style="width:0;height:1.5pt" o:hralign="center" o:hrstd="t" o:hr="t" fillcolor="#aaa" stroked="f"/>
        </w:pict>
      </w:r>
    </w:p>
    <w:p w14:paraId="009B3BE9" w14:textId="77777777" w:rsidR="00EA612B" w:rsidRDefault="00EA612B">
      <w:pPr>
        <w:rPr>
          <w:rFonts w:eastAsia="Times New Roman" w:cs="Times New Roman"/>
        </w:rPr>
      </w:pPr>
      <w:r>
        <w:rPr>
          <w:rFonts w:eastAsia="Times New Roman" w:cs="Times New Roman"/>
        </w:rPr>
        <w:t xml:space="preserve">© Horst Enzensberger 2007. Letzte Änderung am 18. Februar 2007 </w:t>
      </w:r>
    </w:p>
    <w:sectPr w:rsidR="00EA612B" w:rsidSect="00B03CDB">
      <w:footerReference w:type="even" r:id="rId19"/>
      <w:footerReference w:type="default" r:id="rId2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21693" w14:textId="77777777" w:rsidR="00B03CDB" w:rsidRDefault="00B03CDB" w:rsidP="00B03CDB">
      <w:r>
        <w:separator/>
      </w:r>
    </w:p>
  </w:endnote>
  <w:endnote w:type="continuationSeparator" w:id="0">
    <w:p w14:paraId="21664636" w14:textId="77777777" w:rsidR="00B03CDB" w:rsidRDefault="00B03CDB" w:rsidP="00B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A8058" w14:textId="77777777" w:rsidR="00B03CDB" w:rsidRDefault="00B03CDB" w:rsidP="005723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D64B7C2" w14:textId="77777777" w:rsidR="00B03CDB" w:rsidRDefault="00B03CD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5CC" w14:textId="77777777" w:rsidR="00B03CDB" w:rsidRDefault="00B03CDB" w:rsidP="005723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669D0">
      <w:rPr>
        <w:rStyle w:val="Seitenzahl"/>
        <w:noProof/>
      </w:rPr>
      <w:t>1</w:t>
    </w:r>
    <w:r>
      <w:rPr>
        <w:rStyle w:val="Seitenzahl"/>
      </w:rPr>
      <w:fldChar w:fldCharType="end"/>
    </w:r>
  </w:p>
  <w:p w14:paraId="59767FD3" w14:textId="77777777" w:rsidR="00B03CDB" w:rsidRDefault="00B03CD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EA95" w14:textId="77777777" w:rsidR="00B03CDB" w:rsidRDefault="00B03CDB" w:rsidP="00B03CDB">
      <w:r>
        <w:separator/>
      </w:r>
    </w:p>
  </w:footnote>
  <w:footnote w:type="continuationSeparator" w:id="0">
    <w:p w14:paraId="3F62CA78" w14:textId="77777777" w:rsidR="00B03CDB" w:rsidRDefault="00B03CDB" w:rsidP="00B03C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9A"/>
    <w:multiLevelType w:val="multilevel"/>
    <w:tmpl w:val="103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86784"/>
    <w:multiLevelType w:val="multilevel"/>
    <w:tmpl w:val="F816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E32A5"/>
    <w:multiLevelType w:val="multilevel"/>
    <w:tmpl w:val="4F6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A59B0"/>
    <w:multiLevelType w:val="multilevel"/>
    <w:tmpl w:val="1C009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915A4"/>
    <w:multiLevelType w:val="multilevel"/>
    <w:tmpl w:val="E6F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375CF"/>
    <w:multiLevelType w:val="multilevel"/>
    <w:tmpl w:val="897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936AA"/>
    <w:multiLevelType w:val="multilevel"/>
    <w:tmpl w:val="BDA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trackRevisions/>
  <w:defaultTabStop w:val="708"/>
  <w:hyphenationZone w:val="425"/>
  <w:noPunctuationKerning/>
  <w:characterSpacingControl w:val="doNotCompress"/>
  <w:savePreviewPicture/>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A641C6"/>
    <w:rsid w:val="0014120E"/>
    <w:rsid w:val="001D0584"/>
    <w:rsid w:val="00215EFD"/>
    <w:rsid w:val="003079D8"/>
    <w:rsid w:val="00404CC0"/>
    <w:rsid w:val="00431433"/>
    <w:rsid w:val="00693093"/>
    <w:rsid w:val="00754F97"/>
    <w:rsid w:val="007669D0"/>
    <w:rsid w:val="00A641C6"/>
    <w:rsid w:val="00B03CDB"/>
    <w:rsid w:val="00EA612B"/>
    <w:rsid w:val="00EC2985"/>
    <w:rsid w:val="00F20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4113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3">
    <w:name w:val="heading 3"/>
    <w:basedOn w:val="Standard"/>
    <w:link w:val="berschrift3Zeiche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Pr>
      <w:color w:val="0000FF"/>
      <w:u w:val="single"/>
    </w:rPr>
  </w:style>
  <w:style w:type="character" w:styleId="GesichteterLink">
    <w:name w:val="FollowedHyperlink"/>
    <w:basedOn w:val="Absatzstandardschriftart"/>
    <w:uiPriority w:val="99"/>
    <w:semiHidden/>
    <w:unhideWhenUsed/>
    <w:rPr>
      <w:color w:val="800080"/>
      <w:u w:val="single"/>
    </w:rPr>
  </w:style>
  <w:style w:type="character" w:customStyle="1" w:styleId="berschrift3Zeichen">
    <w:name w:val="Überschrift 3 Zeichen"/>
    <w:basedOn w:val="Absatzstandardschriftart"/>
    <w:link w:val="berschrift3"/>
    <w:uiPriority w:val="9"/>
    <w:semiHidden/>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eichen"/>
    <w:uiPriority w:val="99"/>
    <w:semiHidden/>
    <w:unhideWhenUsed/>
    <w:rsid w:val="0043143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31433"/>
    <w:rPr>
      <w:rFonts w:ascii="Lucida Grande" w:eastAsiaTheme="minorEastAsia" w:hAnsi="Lucida Grande" w:cs="Lucida Grande"/>
      <w:sz w:val="18"/>
      <w:szCs w:val="18"/>
    </w:rPr>
  </w:style>
  <w:style w:type="paragraph" w:styleId="Fuzeile">
    <w:name w:val="footer"/>
    <w:basedOn w:val="Standard"/>
    <w:link w:val="FuzeileZeichen"/>
    <w:uiPriority w:val="99"/>
    <w:unhideWhenUsed/>
    <w:rsid w:val="00B03CDB"/>
    <w:pPr>
      <w:tabs>
        <w:tab w:val="center" w:pos="4536"/>
        <w:tab w:val="right" w:pos="9072"/>
      </w:tabs>
    </w:pPr>
  </w:style>
  <w:style w:type="character" w:customStyle="1" w:styleId="FuzeileZeichen">
    <w:name w:val="Fußzeile Zeichen"/>
    <w:basedOn w:val="Absatzstandardschriftart"/>
    <w:link w:val="Fuzeile"/>
    <w:uiPriority w:val="99"/>
    <w:rsid w:val="00B03CDB"/>
    <w:rPr>
      <w:rFonts w:ascii="Times" w:eastAsiaTheme="minorEastAsia" w:hAnsi="Times" w:cstheme="minorBidi"/>
    </w:rPr>
  </w:style>
  <w:style w:type="character" w:styleId="Seitenzahl">
    <w:name w:val="page number"/>
    <w:basedOn w:val="Absatzstandardschriftart"/>
    <w:uiPriority w:val="99"/>
    <w:semiHidden/>
    <w:unhideWhenUsed/>
    <w:rsid w:val="00B03C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3">
    <w:name w:val="heading 3"/>
    <w:basedOn w:val="Standard"/>
    <w:link w:val="berschrift3Zeiche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Pr>
      <w:color w:val="0000FF"/>
      <w:u w:val="single"/>
    </w:rPr>
  </w:style>
  <w:style w:type="character" w:styleId="GesichteterLink">
    <w:name w:val="FollowedHyperlink"/>
    <w:basedOn w:val="Absatzstandardschriftart"/>
    <w:uiPriority w:val="99"/>
    <w:semiHidden/>
    <w:unhideWhenUsed/>
    <w:rPr>
      <w:color w:val="800080"/>
      <w:u w:val="single"/>
    </w:rPr>
  </w:style>
  <w:style w:type="character" w:customStyle="1" w:styleId="berschrift3Zeichen">
    <w:name w:val="Überschrift 3 Zeichen"/>
    <w:basedOn w:val="Absatzstandardschriftart"/>
    <w:link w:val="berschrift3"/>
    <w:uiPriority w:val="9"/>
    <w:semiHidden/>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eichen"/>
    <w:uiPriority w:val="99"/>
    <w:semiHidden/>
    <w:unhideWhenUsed/>
    <w:rsid w:val="0043143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31433"/>
    <w:rPr>
      <w:rFonts w:ascii="Lucida Grande" w:eastAsiaTheme="minorEastAsia" w:hAnsi="Lucida Grande" w:cs="Lucida Grande"/>
      <w:sz w:val="18"/>
      <w:szCs w:val="18"/>
    </w:rPr>
  </w:style>
  <w:style w:type="paragraph" w:styleId="Fuzeile">
    <w:name w:val="footer"/>
    <w:basedOn w:val="Standard"/>
    <w:link w:val="FuzeileZeichen"/>
    <w:uiPriority w:val="99"/>
    <w:unhideWhenUsed/>
    <w:rsid w:val="00B03CDB"/>
    <w:pPr>
      <w:tabs>
        <w:tab w:val="center" w:pos="4536"/>
        <w:tab w:val="right" w:pos="9072"/>
      </w:tabs>
    </w:pPr>
  </w:style>
  <w:style w:type="character" w:customStyle="1" w:styleId="FuzeileZeichen">
    <w:name w:val="Fußzeile Zeichen"/>
    <w:basedOn w:val="Absatzstandardschriftart"/>
    <w:link w:val="Fuzeile"/>
    <w:uiPriority w:val="99"/>
    <w:rsid w:val="00B03CDB"/>
    <w:rPr>
      <w:rFonts w:ascii="Times" w:eastAsiaTheme="minorEastAsia" w:hAnsi="Times" w:cstheme="minorBidi"/>
    </w:rPr>
  </w:style>
  <w:style w:type="character" w:styleId="Seitenzahl">
    <w:name w:val="page number"/>
    <w:basedOn w:val="Absatzstandardschriftart"/>
    <w:uiPriority w:val="99"/>
    <w:semiHidden/>
    <w:unhideWhenUsed/>
    <w:rsid w:val="00B0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st-hh.uni-bamberg.de/home.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gif"/><Relationship Id="rId11" Type="http://schemas.openxmlformats.org/officeDocument/2006/relationships/hyperlink" Target="http://www.hist-hh.uni-bamberg.de/hilfswiss/Urkundenformulare.html" TargetMode="External"/><Relationship Id="rId12" Type="http://schemas.openxmlformats.org/officeDocument/2006/relationships/hyperlink" Target="http://www.hist-hh.uni-bamberg.de/hilfswiss/Urkundenformulare.html" TargetMode="External"/><Relationship Id="rId13" Type="http://schemas.openxmlformats.org/officeDocument/2006/relationships/hyperlink" Target="http://www.hist-hh.uni-bamberg.de/forschung/biblpu.html" TargetMode="External"/><Relationship Id="rId14" Type="http://schemas.openxmlformats.org/officeDocument/2006/relationships/hyperlink" Target="http://www.hist-hh.uni-bamberg.de/forsschung/biblpu.html" TargetMode="External"/><Relationship Id="rId15" Type="http://schemas.openxmlformats.org/officeDocument/2006/relationships/hyperlink" Target="http://www.hist-hh.uni-bamberg.de/forschung/Grg91232.html" TargetMode="External"/><Relationship Id="rId16" Type="http://schemas.openxmlformats.org/officeDocument/2006/relationships/hyperlink" Target="http://www.hist-hh.uni-bamberg.de/forschung/Grg9Ba1235I.html" TargetMode="External"/><Relationship Id="rId17" Type="http://schemas.openxmlformats.org/officeDocument/2006/relationships/hyperlink" Target="http://www.hist-hh.uni-bamberg.de/forschung/Grg9Michelsb.html" TargetMode="External"/><Relationship Id="rId18" Type="http://schemas.openxmlformats.org/officeDocument/2006/relationships/hyperlink" Target="http://www.hist-hh.uni-bamberg.de/forschung/biblpu.html"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C223-D0D7-7B44-A79F-F88E0A35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7513</Characters>
  <Application>Microsoft Macintosh Word</Application>
  <DocSecurity>0</DocSecurity>
  <Lines>62</Lines>
  <Paragraphs>17</Paragraphs>
  <ScaleCrop>false</ScaleCrop>
  <Company>Uni Bamberg</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Arenga</dc:title>
  <dc:subject/>
  <dc:creator>Prof. Dr. Horst Enzensberger</dc:creator>
  <cp:keywords/>
  <dc:description/>
  <cp:lastModifiedBy>Prof. Dr. Horst Enzensberger</cp:lastModifiedBy>
  <cp:revision>13</cp:revision>
  <dcterms:created xsi:type="dcterms:W3CDTF">2015-03-12T01:03:00Z</dcterms:created>
  <dcterms:modified xsi:type="dcterms:W3CDTF">2015-03-12T01:33:00Z</dcterms:modified>
</cp:coreProperties>
</file>